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drawings/drawing1.xml" ContentType="application/vnd.openxmlformats-officedocument.drawingml.chartshapes+xml"/>
  <Override PartName="/word/charts/chart9.xml" ContentType="application/vnd.openxmlformats-officedocument.drawingml.chart+xml"/>
  <Override PartName="/word/drawings/drawing2.xml" ContentType="application/vnd.openxmlformats-officedocument.drawingml.chartshapes+xml"/>
  <Override PartName="/word/charts/chart10.xml" ContentType="application/vnd.openxmlformats-officedocument.drawingml.chart+xml"/>
  <Override PartName="/word/drawings/drawing3.xml" ContentType="application/vnd.openxmlformats-officedocument.drawingml.chartshapes+xml"/>
  <Override PartName="/word/charts/chart11.xml" ContentType="application/vnd.openxmlformats-officedocument.drawingml.chart+xml"/>
  <Override PartName="/word/drawings/drawing4.xml" ContentType="application/vnd.openxmlformats-officedocument.drawingml.chartshapes+xml"/>
  <Override PartName="/word/charts/chart1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521" w:rsidRDefault="00770521" w:rsidP="00770521">
      <w:pPr>
        <w:jc w:val="center"/>
        <w:rPr>
          <w:rFonts w:ascii="華康魏碑體" w:eastAsia="華康魏碑體"/>
          <w:sz w:val="52"/>
        </w:rPr>
      </w:pPr>
    </w:p>
    <w:p w:rsidR="00770521" w:rsidRDefault="00770521" w:rsidP="00770521">
      <w:pPr>
        <w:jc w:val="center"/>
        <w:rPr>
          <w:rFonts w:ascii="華康魏碑體" w:eastAsia="華康魏碑體"/>
          <w:sz w:val="52"/>
        </w:rPr>
      </w:pPr>
    </w:p>
    <w:p w:rsidR="00770521" w:rsidRDefault="00770521" w:rsidP="00770521">
      <w:pPr>
        <w:jc w:val="center"/>
        <w:rPr>
          <w:rFonts w:ascii="華康魏碑體" w:eastAsia="華康魏碑體"/>
          <w:sz w:val="52"/>
        </w:rPr>
      </w:pPr>
    </w:p>
    <w:p w:rsidR="00770521" w:rsidRDefault="00770521" w:rsidP="00770521">
      <w:pPr>
        <w:jc w:val="center"/>
        <w:rPr>
          <w:rFonts w:ascii="華康魏碑體" w:eastAsia="華康魏碑體"/>
          <w:sz w:val="52"/>
        </w:rPr>
      </w:pPr>
    </w:p>
    <w:p w:rsidR="00770521" w:rsidRDefault="00770521" w:rsidP="00770521">
      <w:pPr>
        <w:jc w:val="center"/>
        <w:rPr>
          <w:rFonts w:ascii="華康魏碑體" w:eastAsia="華康魏碑體"/>
          <w:sz w:val="52"/>
        </w:rPr>
      </w:pPr>
    </w:p>
    <w:p w:rsidR="00770521" w:rsidRDefault="00770521" w:rsidP="00770521">
      <w:pPr>
        <w:jc w:val="center"/>
        <w:rPr>
          <w:rFonts w:ascii="華康魏碑體" w:eastAsia="華康魏碑體"/>
          <w:sz w:val="52"/>
        </w:rPr>
      </w:pPr>
    </w:p>
    <w:p w:rsidR="00770521" w:rsidRDefault="00770521" w:rsidP="00770521">
      <w:pPr>
        <w:jc w:val="center"/>
        <w:rPr>
          <w:rFonts w:ascii="華康魏碑體" w:eastAsia="華康魏碑體"/>
          <w:sz w:val="52"/>
        </w:rPr>
      </w:pPr>
    </w:p>
    <w:p w:rsidR="00770521" w:rsidRDefault="00770521" w:rsidP="00770521">
      <w:pPr>
        <w:jc w:val="center"/>
        <w:rPr>
          <w:rFonts w:ascii="華康魏碑體" w:eastAsia="華康魏碑體"/>
          <w:sz w:val="52"/>
        </w:rPr>
      </w:pPr>
      <w:r>
        <w:rPr>
          <w:rFonts w:ascii="華康魏碑體" w:eastAsia="華康魏碑體" w:hint="eastAsia"/>
          <w:sz w:val="52"/>
        </w:rPr>
        <w:t>統    計    圖</w:t>
      </w:r>
    </w:p>
    <w:p w:rsidR="00770521" w:rsidRDefault="00770521" w:rsidP="00770521">
      <w:pPr>
        <w:jc w:val="center"/>
        <w:rPr>
          <w:rFonts w:eastAsia="華康魏碑體"/>
          <w:sz w:val="52"/>
        </w:rPr>
      </w:pPr>
      <w:r w:rsidRPr="00B5408D">
        <w:rPr>
          <w:rFonts w:eastAsia="華康魏碑體"/>
          <w:sz w:val="52"/>
        </w:rPr>
        <w:t>STATISTICAL CHARTS</w:t>
      </w:r>
    </w:p>
    <w:p w:rsidR="00770521" w:rsidRPr="00B5408D" w:rsidRDefault="00770521" w:rsidP="00770521">
      <w:pPr>
        <w:jc w:val="center"/>
        <w:rPr>
          <w:rFonts w:eastAsia="華康魏碑體"/>
          <w:sz w:val="52"/>
        </w:rPr>
      </w:pPr>
    </w:p>
    <w:p w:rsidR="000046C8" w:rsidRDefault="00770521" w:rsidP="00770521">
      <w:pPr>
        <w:rPr>
          <w:rFonts w:ascii="華康魏碑體" w:eastAsia="華康魏碑體"/>
          <w:sz w:val="52"/>
        </w:rPr>
      </w:pPr>
      <w:r>
        <w:rPr>
          <w:rFonts w:ascii="華康魏碑體" w:eastAsia="華康魏碑體"/>
          <w:sz w:val="52"/>
        </w:rPr>
        <w:br w:type="page"/>
      </w:r>
    </w:p>
    <w:p w:rsidR="00770521" w:rsidRDefault="009F1171" w:rsidP="00770521">
      <w:pPr>
        <w:rPr>
          <w:rFonts w:ascii="華康魏碑體" w:eastAsia="華康魏碑體"/>
          <w:sz w:val="52"/>
        </w:rPr>
      </w:pPr>
      <w:r>
        <w:rPr>
          <w:rFonts w:ascii="華康魏碑體" w:eastAsia="華康魏碑體"/>
          <w:noProof/>
          <w:sz w:val="52"/>
        </w:rPr>
        <w:lastRenderedPageBreak/>
        <w:drawing>
          <wp:inline distT="0" distB="0" distL="0" distR="0">
            <wp:extent cx="5277080" cy="8615190"/>
            <wp:effectExtent l="0" t="0" r="0" b="0"/>
            <wp:docPr id="5" name="圖片 5" descr="C:\Users\FAW7_01\Desktop\1020912_修正100年漁業調查統計年報\100年統計圖\100圖1_四大漁業生產圖v2002_1010829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AW7_01\Desktop\1020912_修正100年漁業調查統計年報\100年統計圖\100圖1_四大漁業生產圖v2002_1010829.wm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610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0521" w:rsidRDefault="009F1171" w:rsidP="00770521">
      <w:pPr>
        <w:rPr>
          <w:rFonts w:ascii="華康魏碑體" w:eastAsia="華康魏碑體"/>
          <w:sz w:val="52"/>
        </w:rPr>
      </w:pPr>
      <w:r>
        <w:rPr>
          <w:rFonts w:ascii="華康魏碑體" w:eastAsia="華康魏碑體"/>
          <w:noProof/>
          <w:sz w:val="52"/>
        </w:rPr>
        <w:drawing>
          <wp:inline distT="0" distB="0" distL="0" distR="0">
            <wp:extent cx="5273428" cy="8626207"/>
            <wp:effectExtent l="0" t="0" r="3810" b="3810"/>
            <wp:docPr id="6" name="圖片 6" descr="C:\Users\FAW7_01\Desktop\1020912_修正100年漁業調查統計年報\100年統計圖\100圖2_面積圖v2002_1010829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AW7_01\Desktop\1020912_修正100年漁業調查統計年報\100年統計圖\100圖2_面積圖v2002_1010829.wm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62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0521" w:rsidRDefault="00D96044" w:rsidP="00770521">
      <w:pPr>
        <w:rPr>
          <w:rFonts w:ascii="華康魏碑體" w:eastAsia="華康魏碑體"/>
          <w:sz w:val="52"/>
        </w:rPr>
      </w:pPr>
      <w:r>
        <w:rPr>
          <w:noProof/>
        </w:rPr>
        <w:drawing>
          <wp:inline distT="0" distB="0" distL="0" distR="0" wp14:anchorId="4BDFE696" wp14:editId="2E2072A4">
            <wp:extent cx="5486400" cy="3594100"/>
            <wp:effectExtent l="0" t="0" r="0" b="0"/>
            <wp:docPr id="13" name="圖表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>
        <w:rPr>
          <w:rFonts w:ascii="華康魏碑體" w:eastAsia="華康魏碑體" w:hint="eastAsia"/>
          <w:noProof/>
          <w:sz w:val="52"/>
        </w:rPr>
        <w:t xml:space="preserve"> </w:t>
      </w:r>
      <w:bookmarkStart w:id="0" w:name="_GoBack"/>
      <w:r>
        <w:rPr>
          <w:noProof/>
        </w:rPr>
        <w:drawing>
          <wp:inline distT="0" distB="0" distL="0" distR="0" wp14:anchorId="319492BE" wp14:editId="2523EF19">
            <wp:extent cx="5486400" cy="4203700"/>
            <wp:effectExtent l="0" t="0" r="0" b="0"/>
            <wp:docPr id="14" name="圖表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bookmarkEnd w:id="0"/>
      <w:r>
        <w:rPr>
          <w:rFonts w:ascii="華康魏碑體" w:eastAsia="華康魏碑體" w:hint="eastAsia"/>
          <w:noProof/>
          <w:sz w:val="52"/>
        </w:rPr>
        <w:t xml:space="preserve"> </w:t>
      </w:r>
      <w:r w:rsidR="00AD4ABC">
        <w:rPr>
          <w:noProof/>
        </w:rPr>
        <w:drawing>
          <wp:inline distT="0" distB="0" distL="0" distR="0" wp14:anchorId="73F7B513" wp14:editId="398F23DD">
            <wp:extent cx="5283200" cy="7988300"/>
            <wp:effectExtent l="0" t="0" r="0" b="0"/>
            <wp:docPr id="2" name="圖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770521" w:rsidRDefault="00AD4ABC" w:rsidP="00770521">
      <w:pPr>
        <w:rPr>
          <w:rFonts w:ascii="華康魏碑體" w:eastAsia="華康魏碑體"/>
          <w:sz w:val="52"/>
        </w:rPr>
      </w:pPr>
      <w:r>
        <w:rPr>
          <w:noProof/>
        </w:rPr>
        <w:drawing>
          <wp:inline distT="0" distB="0" distL="0" distR="0" wp14:anchorId="4B4113F2" wp14:editId="17B58C06">
            <wp:extent cx="5270500" cy="4064000"/>
            <wp:effectExtent l="0" t="0" r="0" b="0"/>
            <wp:docPr id="3" name="圖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753AA7C" wp14:editId="74E4EDE9">
            <wp:extent cx="5274310" cy="4483164"/>
            <wp:effectExtent l="0" t="0" r="0" b="0"/>
            <wp:docPr id="4" name="圖表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770521" w:rsidRDefault="00746D0B" w:rsidP="00770521">
      <w:pPr>
        <w:rPr>
          <w:rFonts w:ascii="華康魏碑體" w:eastAsia="華康魏碑體"/>
          <w:sz w:val="52"/>
        </w:rPr>
      </w:pPr>
      <w:r>
        <w:rPr>
          <w:noProof/>
        </w:rPr>
        <w:drawing>
          <wp:inline distT="0" distB="0" distL="0" distR="0" wp14:anchorId="35385D86" wp14:editId="4E68A529">
            <wp:extent cx="5105400" cy="4140200"/>
            <wp:effectExtent l="0" t="0" r="0" b="0"/>
            <wp:docPr id="18" name="圖表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745931A" wp14:editId="1328FC67">
            <wp:extent cx="5486400" cy="4381500"/>
            <wp:effectExtent l="0" t="0" r="0" b="0"/>
            <wp:docPr id="19" name="圖表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770521" w:rsidRDefault="00746D0B" w:rsidP="00770521">
      <w:pPr>
        <w:rPr>
          <w:rFonts w:ascii="華康魏碑體" w:eastAsia="華康魏碑體"/>
          <w:sz w:val="52"/>
        </w:rPr>
      </w:pPr>
      <w:r>
        <w:rPr>
          <w:noProof/>
        </w:rPr>
        <w:drawing>
          <wp:inline distT="0" distB="0" distL="0" distR="0" wp14:anchorId="52A8C828" wp14:editId="76561802">
            <wp:extent cx="5486400" cy="8432800"/>
            <wp:effectExtent l="0" t="0" r="0" b="0"/>
            <wp:docPr id="20" name="圖表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770521" w:rsidRDefault="00746D0B" w:rsidP="00770521">
      <w:pPr>
        <w:rPr>
          <w:rFonts w:ascii="華康魏碑體" w:eastAsia="華康魏碑體"/>
          <w:sz w:val="52"/>
        </w:rPr>
      </w:pPr>
      <w:r>
        <w:rPr>
          <w:noProof/>
        </w:rPr>
        <w:drawing>
          <wp:inline distT="0" distB="0" distL="0" distR="0" wp14:anchorId="2742A95F" wp14:editId="182EECF2">
            <wp:extent cx="5259070" cy="8229600"/>
            <wp:effectExtent l="0" t="0" r="0" b="0"/>
            <wp:docPr id="22" name="圖表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  <w:r>
        <w:rPr>
          <w:rFonts w:ascii="華康魏碑體" w:eastAsia="華康魏碑體" w:hint="eastAsia"/>
          <w:noProof/>
          <w:sz w:val="52"/>
        </w:rPr>
        <w:t xml:space="preserve"> </w:t>
      </w:r>
    </w:p>
    <w:p w:rsidR="00770521" w:rsidRDefault="00746D0B" w:rsidP="00770521">
      <w:pPr>
        <w:rPr>
          <w:rFonts w:ascii="華康魏碑體" w:eastAsia="華康魏碑體"/>
          <w:sz w:val="52"/>
        </w:rPr>
      </w:pPr>
      <w:r>
        <w:rPr>
          <w:noProof/>
        </w:rPr>
        <w:drawing>
          <wp:inline distT="0" distB="0" distL="0" distR="0" wp14:anchorId="3C7FD187" wp14:editId="2C2948E5">
            <wp:extent cx="5207000" cy="3975100"/>
            <wp:effectExtent l="0" t="0" r="0" b="0"/>
            <wp:docPr id="23" name="圖表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746D0B" w:rsidRDefault="00746D0B" w:rsidP="00770521">
      <w:pPr>
        <w:rPr>
          <w:rFonts w:ascii="華康魏碑體" w:eastAsia="華康魏碑體"/>
          <w:sz w:val="52"/>
        </w:rPr>
      </w:pPr>
      <w:r>
        <w:rPr>
          <w:noProof/>
        </w:rPr>
        <w:drawing>
          <wp:inline distT="0" distB="0" distL="0" distR="0" wp14:anchorId="5B44F218" wp14:editId="02FE1BA5">
            <wp:extent cx="5321300" cy="4356100"/>
            <wp:effectExtent l="0" t="0" r="0" b="0"/>
            <wp:docPr id="24" name="圖表 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770521" w:rsidRDefault="009D3172" w:rsidP="00770521">
      <w:r>
        <w:rPr>
          <w:noProof/>
        </w:rPr>
        <w:drawing>
          <wp:anchor distT="0" distB="0" distL="114300" distR="114300" simplePos="0" relativeHeight="251658240" behindDoc="0" locked="0" layoutInCell="1" allowOverlap="1" wp14:anchorId="1BC9C21B" wp14:editId="2628377D">
            <wp:simplePos x="0" y="0"/>
            <wp:positionH relativeFrom="column">
              <wp:posOffset>-38100</wp:posOffset>
            </wp:positionH>
            <wp:positionV relativeFrom="paragraph">
              <wp:posOffset>76200</wp:posOffset>
            </wp:positionV>
            <wp:extent cx="5295900" cy="4292600"/>
            <wp:effectExtent l="0" t="0" r="0" b="0"/>
            <wp:wrapNone/>
            <wp:docPr id="29" name="圖片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ject 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95900" cy="4292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D3172" w:rsidRDefault="009D3172" w:rsidP="00770521"/>
    <w:p w:rsidR="009D3172" w:rsidRDefault="009D3172" w:rsidP="00770521"/>
    <w:p w:rsidR="009D3172" w:rsidRDefault="009D3172" w:rsidP="00770521"/>
    <w:p w:rsidR="009D3172" w:rsidRDefault="009D3172" w:rsidP="00770521"/>
    <w:p w:rsidR="009D3172" w:rsidRDefault="009D3172" w:rsidP="00770521"/>
    <w:p w:rsidR="009D3172" w:rsidRDefault="009D3172" w:rsidP="00770521"/>
    <w:p w:rsidR="009D3172" w:rsidRDefault="009D3172" w:rsidP="00770521"/>
    <w:p w:rsidR="009D3172" w:rsidRDefault="009D3172" w:rsidP="00770521"/>
    <w:p w:rsidR="009D3172" w:rsidRDefault="009D3172" w:rsidP="00770521"/>
    <w:p w:rsidR="009D3172" w:rsidRDefault="009D3172" w:rsidP="00770521"/>
    <w:p w:rsidR="009D3172" w:rsidRDefault="009D3172" w:rsidP="00770521"/>
    <w:p w:rsidR="009D3172" w:rsidRDefault="009D3172" w:rsidP="00770521"/>
    <w:p w:rsidR="009D3172" w:rsidRDefault="009D3172" w:rsidP="00770521"/>
    <w:p w:rsidR="009D3172" w:rsidRDefault="009D3172" w:rsidP="00770521"/>
    <w:p w:rsidR="009D3172" w:rsidRDefault="009D3172" w:rsidP="00770521"/>
    <w:tbl>
      <w:tblPr>
        <w:tblpPr w:leftFromText="180" w:rightFromText="180" w:vertAnchor="page" w:horzAnchor="margin" w:tblpXSpec="center" w:tblpY="8341"/>
        <w:tblW w:w="952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6"/>
        <w:gridCol w:w="992"/>
        <w:gridCol w:w="1134"/>
        <w:gridCol w:w="1134"/>
        <w:gridCol w:w="1134"/>
        <w:gridCol w:w="1134"/>
        <w:gridCol w:w="1276"/>
        <w:gridCol w:w="1276"/>
      </w:tblGrid>
      <w:tr w:rsidR="009D3172" w:rsidRPr="009D3172" w:rsidTr="009D3172">
        <w:trPr>
          <w:trHeight w:val="345"/>
        </w:trPr>
        <w:tc>
          <w:tcPr>
            <w:tcW w:w="1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3172" w:rsidRPr="009D3172" w:rsidRDefault="009D3172" w:rsidP="009D3172">
            <w:pPr>
              <w:widowControl/>
              <w:rPr>
                <w:rFonts w:ascii="標楷體" w:hAnsi="標楷體" w:cs="新細明體"/>
                <w:kern w:val="0"/>
                <w:sz w:val="22"/>
                <w:szCs w:val="22"/>
              </w:rPr>
            </w:pPr>
            <w:r w:rsidRPr="009D3172">
              <w:rPr>
                <w:rFonts w:ascii="標楷體" w:hAnsi="標楷體" w:cs="新細明體" w:hint="eastAsia"/>
                <w:kern w:val="0"/>
                <w:sz w:val="22"/>
                <w:szCs w:val="22"/>
              </w:rPr>
              <w:t>市場等級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3172" w:rsidRPr="009D3172" w:rsidRDefault="009D3172" w:rsidP="009D3172">
            <w:pPr>
              <w:widowControl/>
              <w:jc w:val="center"/>
              <w:rPr>
                <w:rFonts w:ascii="標楷體" w:hAnsi="標楷體" w:cs="新細明體"/>
                <w:kern w:val="0"/>
                <w:sz w:val="22"/>
                <w:szCs w:val="22"/>
              </w:rPr>
            </w:pPr>
            <w:r w:rsidRPr="009D3172">
              <w:rPr>
                <w:rFonts w:ascii="標楷體" w:hAnsi="標楷體" w:cs="新細明體" w:hint="eastAsia"/>
                <w:kern w:val="0"/>
                <w:sz w:val="22"/>
                <w:szCs w:val="22"/>
              </w:rPr>
              <w:t>特等</w:t>
            </w:r>
            <w:r w:rsidRPr="009D3172">
              <w:rPr>
                <w:kern w:val="0"/>
                <w:sz w:val="22"/>
                <w:szCs w:val="22"/>
              </w:rPr>
              <w:t>/2</w:t>
            </w:r>
            <w:r w:rsidRPr="009D3172">
              <w:rPr>
                <w:rFonts w:ascii="標楷體" w:hAnsi="標楷體" w:cs="新細明體" w:hint="eastAsia"/>
                <w:kern w:val="0"/>
                <w:sz w:val="22"/>
                <w:szCs w:val="22"/>
              </w:rPr>
              <w:t>處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3172" w:rsidRPr="009D3172" w:rsidRDefault="009D3172" w:rsidP="009D3172">
            <w:pPr>
              <w:widowControl/>
              <w:jc w:val="center"/>
              <w:rPr>
                <w:rFonts w:ascii="標楷體" w:hAnsi="標楷體" w:cs="新細明體"/>
                <w:kern w:val="0"/>
                <w:sz w:val="22"/>
                <w:szCs w:val="22"/>
              </w:rPr>
            </w:pPr>
            <w:r w:rsidRPr="009D3172">
              <w:rPr>
                <w:rFonts w:ascii="標楷體" w:hAnsi="標楷體" w:cs="新細明體" w:hint="eastAsia"/>
                <w:kern w:val="0"/>
                <w:sz w:val="22"/>
                <w:szCs w:val="22"/>
              </w:rPr>
              <w:t>一等</w:t>
            </w:r>
            <w:r w:rsidRPr="009D3172">
              <w:rPr>
                <w:kern w:val="0"/>
                <w:sz w:val="22"/>
                <w:szCs w:val="22"/>
              </w:rPr>
              <w:t>/2</w:t>
            </w:r>
            <w:r w:rsidRPr="009D3172">
              <w:rPr>
                <w:rFonts w:ascii="標楷體" w:hAnsi="標楷體" w:cs="新細明體" w:hint="eastAsia"/>
                <w:kern w:val="0"/>
                <w:sz w:val="22"/>
                <w:szCs w:val="22"/>
              </w:rPr>
              <w:t>處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3172" w:rsidRPr="009D3172" w:rsidRDefault="009D3172" w:rsidP="009D3172">
            <w:pPr>
              <w:widowControl/>
              <w:jc w:val="center"/>
              <w:rPr>
                <w:rFonts w:ascii="標楷體" w:hAnsi="標楷體" w:cs="新細明體"/>
                <w:kern w:val="0"/>
                <w:sz w:val="22"/>
                <w:szCs w:val="22"/>
              </w:rPr>
            </w:pPr>
            <w:r w:rsidRPr="009D3172">
              <w:rPr>
                <w:rFonts w:ascii="標楷體" w:hAnsi="標楷體" w:cs="新細明體" w:hint="eastAsia"/>
                <w:kern w:val="0"/>
                <w:sz w:val="22"/>
                <w:szCs w:val="22"/>
              </w:rPr>
              <w:t>二等</w:t>
            </w:r>
            <w:r w:rsidRPr="009D3172">
              <w:rPr>
                <w:kern w:val="0"/>
                <w:sz w:val="22"/>
                <w:szCs w:val="22"/>
              </w:rPr>
              <w:t>/2</w:t>
            </w:r>
            <w:r w:rsidRPr="009D3172">
              <w:rPr>
                <w:rFonts w:ascii="標楷體" w:hAnsi="標楷體" w:cs="新細明體" w:hint="eastAsia"/>
                <w:kern w:val="0"/>
                <w:sz w:val="22"/>
                <w:szCs w:val="22"/>
              </w:rPr>
              <w:t>處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3172" w:rsidRPr="009D3172" w:rsidRDefault="009D3172" w:rsidP="009D3172">
            <w:pPr>
              <w:widowControl/>
              <w:jc w:val="center"/>
              <w:rPr>
                <w:rFonts w:ascii="標楷體" w:hAnsi="標楷體" w:cs="新細明體"/>
                <w:kern w:val="0"/>
                <w:sz w:val="22"/>
                <w:szCs w:val="22"/>
              </w:rPr>
            </w:pPr>
            <w:r w:rsidRPr="009D3172">
              <w:rPr>
                <w:rFonts w:ascii="標楷體" w:hAnsi="標楷體" w:cs="新細明體" w:hint="eastAsia"/>
                <w:kern w:val="0"/>
                <w:sz w:val="22"/>
                <w:szCs w:val="22"/>
              </w:rPr>
              <w:t>三等</w:t>
            </w:r>
            <w:r w:rsidRPr="009D3172">
              <w:rPr>
                <w:kern w:val="0"/>
                <w:sz w:val="22"/>
                <w:szCs w:val="22"/>
              </w:rPr>
              <w:t>/12</w:t>
            </w:r>
            <w:r w:rsidRPr="009D3172">
              <w:rPr>
                <w:rFonts w:ascii="標楷體" w:hAnsi="標楷體" w:cs="新細明體" w:hint="eastAsia"/>
                <w:kern w:val="0"/>
                <w:sz w:val="22"/>
                <w:szCs w:val="22"/>
              </w:rPr>
              <w:t>處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3172" w:rsidRPr="009D3172" w:rsidRDefault="009D3172" w:rsidP="009D3172">
            <w:pPr>
              <w:widowControl/>
              <w:jc w:val="center"/>
              <w:rPr>
                <w:rFonts w:ascii="標楷體" w:hAnsi="標楷體" w:cs="新細明體"/>
                <w:kern w:val="0"/>
                <w:sz w:val="22"/>
                <w:szCs w:val="22"/>
              </w:rPr>
            </w:pPr>
            <w:r w:rsidRPr="009D3172">
              <w:rPr>
                <w:rFonts w:ascii="標楷體" w:hAnsi="標楷體" w:cs="新細明體" w:hint="eastAsia"/>
                <w:kern w:val="0"/>
                <w:sz w:val="22"/>
                <w:szCs w:val="22"/>
              </w:rPr>
              <w:t>四等</w:t>
            </w:r>
            <w:r w:rsidRPr="009D3172">
              <w:rPr>
                <w:kern w:val="0"/>
                <w:sz w:val="22"/>
                <w:szCs w:val="22"/>
              </w:rPr>
              <w:t>/7</w:t>
            </w:r>
            <w:r w:rsidRPr="009D3172">
              <w:rPr>
                <w:rFonts w:ascii="標楷體" w:hAnsi="標楷體" w:cs="新細明體" w:hint="eastAsia"/>
                <w:kern w:val="0"/>
                <w:sz w:val="22"/>
                <w:szCs w:val="22"/>
              </w:rPr>
              <w:t>處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3172" w:rsidRPr="009D3172" w:rsidRDefault="009D3172" w:rsidP="009D3172">
            <w:pPr>
              <w:widowControl/>
              <w:jc w:val="center"/>
              <w:rPr>
                <w:rFonts w:ascii="標楷體" w:hAnsi="標楷體" w:cs="新細明體"/>
                <w:kern w:val="0"/>
                <w:sz w:val="22"/>
                <w:szCs w:val="22"/>
              </w:rPr>
            </w:pPr>
            <w:r w:rsidRPr="009D3172">
              <w:rPr>
                <w:rFonts w:ascii="標楷體" w:hAnsi="標楷體" w:cs="新細明體" w:hint="eastAsia"/>
                <w:kern w:val="0"/>
                <w:sz w:val="22"/>
                <w:szCs w:val="22"/>
              </w:rPr>
              <w:t>五等</w:t>
            </w:r>
            <w:r w:rsidRPr="009D3172">
              <w:rPr>
                <w:kern w:val="0"/>
                <w:sz w:val="22"/>
                <w:szCs w:val="22"/>
              </w:rPr>
              <w:t>/24</w:t>
            </w:r>
            <w:r w:rsidRPr="009D3172">
              <w:rPr>
                <w:rFonts w:ascii="標楷體" w:hAnsi="標楷體" w:cs="新細明體" w:hint="eastAsia"/>
                <w:kern w:val="0"/>
                <w:sz w:val="22"/>
                <w:szCs w:val="22"/>
              </w:rPr>
              <w:t>處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3172" w:rsidRPr="009D3172" w:rsidRDefault="009D3172" w:rsidP="009D3172">
            <w:pPr>
              <w:widowControl/>
              <w:jc w:val="center"/>
              <w:rPr>
                <w:rFonts w:ascii="標楷體" w:hAnsi="標楷體" w:cs="新細明體"/>
                <w:kern w:val="0"/>
                <w:sz w:val="22"/>
                <w:szCs w:val="22"/>
              </w:rPr>
            </w:pPr>
            <w:r w:rsidRPr="009D3172">
              <w:rPr>
                <w:rFonts w:ascii="標楷體" w:hAnsi="標楷體" w:cs="新細明體" w:hint="eastAsia"/>
                <w:kern w:val="0"/>
                <w:sz w:val="22"/>
                <w:szCs w:val="22"/>
              </w:rPr>
              <w:t>合計</w:t>
            </w:r>
            <w:r w:rsidRPr="009D3172">
              <w:rPr>
                <w:kern w:val="0"/>
                <w:sz w:val="22"/>
                <w:szCs w:val="22"/>
              </w:rPr>
              <w:t>/49</w:t>
            </w:r>
            <w:r w:rsidRPr="009D3172">
              <w:rPr>
                <w:rFonts w:ascii="標楷體" w:hAnsi="標楷體" w:cs="新細明體" w:hint="eastAsia"/>
                <w:kern w:val="0"/>
                <w:sz w:val="22"/>
                <w:szCs w:val="22"/>
              </w:rPr>
              <w:t>處</w:t>
            </w:r>
          </w:p>
        </w:tc>
      </w:tr>
      <w:tr w:rsidR="009D3172" w:rsidRPr="009D3172" w:rsidTr="009D3172">
        <w:trPr>
          <w:trHeight w:val="345"/>
        </w:trPr>
        <w:tc>
          <w:tcPr>
            <w:tcW w:w="14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3172" w:rsidRPr="009D3172" w:rsidRDefault="009D3172" w:rsidP="009D3172">
            <w:pPr>
              <w:widowControl/>
              <w:rPr>
                <w:rFonts w:ascii="標楷體" w:hAnsi="標楷體" w:cs="新細明體"/>
                <w:kern w:val="0"/>
                <w:sz w:val="22"/>
                <w:szCs w:val="22"/>
              </w:rPr>
            </w:pPr>
            <w:r w:rsidRPr="009D3172">
              <w:rPr>
                <w:rFonts w:ascii="標楷體" w:hAnsi="標楷體" w:cs="新細明體" w:hint="eastAsia"/>
                <w:kern w:val="0"/>
                <w:sz w:val="22"/>
                <w:szCs w:val="22"/>
              </w:rPr>
              <w:t>交易量</w:t>
            </w:r>
            <w:r w:rsidRPr="009D3172">
              <w:rPr>
                <w:kern w:val="0"/>
                <w:sz w:val="22"/>
                <w:szCs w:val="22"/>
              </w:rPr>
              <w:t>(</w:t>
            </w:r>
            <w:r w:rsidRPr="009D3172">
              <w:rPr>
                <w:rFonts w:ascii="標楷體" w:hAnsi="標楷體" w:cs="新細明體" w:hint="eastAsia"/>
                <w:kern w:val="0"/>
                <w:sz w:val="22"/>
                <w:szCs w:val="22"/>
              </w:rPr>
              <w:t>公噸</w:t>
            </w:r>
            <w:r w:rsidRPr="009D3172">
              <w:rPr>
                <w:kern w:val="0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3172" w:rsidRPr="009D3172" w:rsidRDefault="009D3172" w:rsidP="009D3172">
            <w:pPr>
              <w:widowControl/>
              <w:jc w:val="center"/>
              <w:rPr>
                <w:rFonts w:eastAsia="新細明體"/>
                <w:kern w:val="0"/>
                <w:sz w:val="22"/>
                <w:szCs w:val="22"/>
              </w:rPr>
            </w:pPr>
            <w:r w:rsidRPr="009D3172">
              <w:rPr>
                <w:rFonts w:eastAsia="新細明體"/>
                <w:kern w:val="0"/>
                <w:sz w:val="22"/>
                <w:szCs w:val="22"/>
              </w:rPr>
              <w:t>236,792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3172" w:rsidRPr="009D3172" w:rsidRDefault="009D3172" w:rsidP="009D3172">
            <w:pPr>
              <w:widowControl/>
              <w:jc w:val="center"/>
              <w:rPr>
                <w:rFonts w:eastAsia="新細明體"/>
                <w:kern w:val="0"/>
                <w:sz w:val="22"/>
                <w:szCs w:val="22"/>
              </w:rPr>
            </w:pPr>
            <w:r w:rsidRPr="009D3172">
              <w:rPr>
                <w:rFonts w:eastAsia="新細明體"/>
                <w:kern w:val="0"/>
                <w:sz w:val="22"/>
                <w:szCs w:val="22"/>
              </w:rPr>
              <w:t>59,161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3172" w:rsidRPr="009D3172" w:rsidRDefault="009D3172" w:rsidP="009D3172">
            <w:pPr>
              <w:widowControl/>
              <w:jc w:val="center"/>
              <w:rPr>
                <w:rFonts w:eastAsia="新細明體"/>
                <w:kern w:val="0"/>
                <w:sz w:val="22"/>
                <w:szCs w:val="22"/>
              </w:rPr>
            </w:pPr>
            <w:r w:rsidRPr="009D3172">
              <w:rPr>
                <w:rFonts w:eastAsia="新細明體"/>
                <w:kern w:val="0"/>
                <w:sz w:val="22"/>
                <w:szCs w:val="22"/>
              </w:rPr>
              <w:t>29,922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3172" w:rsidRPr="009D3172" w:rsidRDefault="009D3172" w:rsidP="009D3172">
            <w:pPr>
              <w:widowControl/>
              <w:jc w:val="center"/>
              <w:rPr>
                <w:rFonts w:eastAsia="新細明體"/>
                <w:kern w:val="0"/>
                <w:sz w:val="22"/>
                <w:szCs w:val="22"/>
              </w:rPr>
            </w:pPr>
            <w:r w:rsidRPr="009D3172">
              <w:rPr>
                <w:rFonts w:eastAsia="新細明體"/>
                <w:kern w:val="0"/>
                <w:sz w:val="22"/>
                <w:szCs w:val="22"/>
              </w:rPr>
              <w:t>78,298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3172" w:rsidRPr="009D3172" w:rsidRDefault="009D3172" w:rsidP="009D3172">
            <w:pPr>
              <w:widowControl/>
              <w:jc w:val="center"/>
              <w:rPr>
                <w:rFonts w:eastAsia="新細明體"/>
                <w:kern w:val="0"/>
                <w:sz w:val="22"/>
                <w:szCs w:val="22"/>
              </w:rPr>
            </w:pPr>
            <w:r w:rsidRPr="009D3172">
              <w:rPr>
                <w:rFonts w:eastAsia="新細明體"/>
                <w:kern w:val="0"/>
                <w:sz w:val="22"/>
                <w:szCs w:val="22"/>
              </w:rPr>
              <w:t>18,972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3172" w:rsidRPr="009D3172" w:rsidRDefault="009D3172" w:rsidP="009D3172">
            <w:pPr>
              <w:widowControl/>
              <w:jc w:val="center"/>
              <w:rPr>
                <w:rFonts w:eastAsia="新細明體"/>
                <w:kern w:val="0"/>
                <w:sz w:val="22"/>
                <w:szCs w:val="22"/>
              </w:rPr>
            </w:pPr>
            <w:r w:rsidRPr="009D3172">
              <w:rPr>
                <w:rFonts w:eastAsia="新細明體"/>
                <w:kern w:val="0"/>
                <w:sz w:val="22"/>
                <w:szCs w:val="22"/>
              </w:rPr>
              <w:t>12,853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3172" w:rsidRPr="009D3172" w:rsidRDefault="009D3172" w:rsidP="009D3172">
            <w:pPr>
              <w:widowControl/>
              <w:jc w:val="center"/>
              <w:rPr>
                <w:rFonts w:eastAsia="新細明體"/>
                <w:kern w:val="0"/>
                <w:sz w:val="22"/>
                <w:szCs w:val="22"/>
              </w:rPr>
            </w:pPr>
            <w:r w:rsidRPr="009D3172">
              <w:rPr>
                <w:rFonts w:eastAsia="新細明體"/>
                <w:kern w:val="0"/>
                <w:sz w:val="22"/>
                <w:szCs w:val="22"/>
              </w:rPr>
              <w:t>435,998</w:t>
            </w:r>
          </w:p>
        </w:tc>
      </w:tr>
      <w:tr w:rsidR="009D3172" w:rsidRPr="009D3172" w:rsidTr="009D3172">
        <w:trPr>
          <w:trHeight w:val="345"/>
        </w:trPr>
        <w:tc>
          <w:tcPr>
            <w:tcW w:w="14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3172" w:rsidRPr="009D3172" w:rsidRDefault="009D3172" w:rsidP="009D3172">
            <w:pPr>
              <w:widowControl/>
              <w:rPr>
                <w:rFonts w:ascii="標楷體" w:hAnsi="標楷體" w:cs="新細明體"/>
                <w:kern w:val="0"/>
                <w:sz w:val="22"/>
                <w:szCs w:val="22"/>
              </w:rPr>
            </w:pPr>
            <w:r w:rsidRPr="009D3172">
              <w:rPr>
                <w:rFonts w:ascii="標楷體" w:hAnsi="標楷體" w:cs="新細明體" w:hint="eastAsia"/>
                <w:kern w:val="0"/>
                <w:sz w:val="22"/>
                <w:szCs w:val="22"/>
              </w:rPr>
              <w:t>交易值</w:t>
            </w:r>
            <w:r w:rsidRPr="009D3172">
              <w:rPr>
                <w:kern w:val="0"/>
                <w:sz w:val="22"/>
                <w:szCs w:val="22"/>
              </w:rPr>
              <w:t>(</w:t>
            </w:r>
            <w:r w:rsidRPr="009D3172">
              <w:rPr>
                <w:rFonts w:ascii="標楷體" w:hAnsi="標楷體" w:cs="新細明體" w:hint="eastAsia"/>
                <w:kern w:val="0"/>
                <w:sz w:val="22"/>
                <w:szCs w:val="22"/>
              </w:rPr>
              <w:t>千元</w:t>
            </w:r>
            <w:r w:rsidRPr="009D3172">
              <w:rPr>
                <w:kern w:val="0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3172" w:rsidRPr="009D3172" w:rsidRDefault="009D3172" w:rsidP="009D3172">
            <w:pPr>
              <w:widowControl/>
              <w:jc w:val="center"/>
              <w:rPr>
                <w:rFonts w:eastAsia="新細明體"/>
                <w:kern w:val="0"/>
                <w:sz w:val="22"/>
                <w:szCs w:val="22"/>
              </w:rPr>
            </w:pPr>
            <w:r w:rsidRPr="009D3172">
              <w:rPr>
                <w:rFonts w:eastAsia="新細明體"/>
                <w:kern w:val="0"/>
                <w:sz w:val="22"/>
                <w:szCs w:val="22"/>
              </w:rPr>
              <w:t>7,263,831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3172" w:rsidRPr="009D3172" w:rsidRDefault="009D3172" w:rsidP="009D3172">
            <w:pPr>
              <w:widowControl/>
              <w:jc w:val="center"/>
              <w:rPr>
                <w:rFonts w:eastAsia="新細明體"/>
                <w:kern w:val="0"/>
                <w:sz w:val="22"/>
                <w:szCs w:val="22"/>
              </w:rPr>
            </w:pPr>
            <w:r w:rsidRPr="009D3172">
              <w:rPr>
                <w:rFonts w:eastAsia="新細明體"/>
                <w:kern w:val="0"/>
                <w:sz w:val="22"/>
                <w:szCs w:val="22"/>
              </w:rPr>
              <w:t>6,026,328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3172" w:rsidRPr="009D3172" w:rsidRDefault="009D3172" w:rsidP="009D3172">
            <w:pPr>
              <w:widowControl/>
              <w:jc w:val="center"/>
              <w:rPr>
                <w:rFonts w:eastAsia="新細明體"/>
                <w:kern w:val="0"/>
                <w:sz w:val="22"/>
                <w:szCs w:val="22"/>
              </w:rPr>
            </w:pPr>
            <w:r w:rsidRPr="009D3172">
              <w:rPr>
                <w:rFonts w:eastAsia="新細明體"/>
                <w:kern w:val="0"/>
                <w:sz w:val="22"/>
                <w:szCs w:val="22"/>
              </w:rPr>
              <w:t>3,293,407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3172" w:rsidRPr="009D3172" w:rsidRDefault="009D3172" w:rsidP="009D3172">
            <w:pPr>
              <w:widowControl/>
              <w:jc w:val="center"/>
              <w:rPr>
                <w:rFonts w:eastAsia="新細明體"/>
                <w:kern w:val="0"/>
                <w:sz w:val="22"/>
                <w:szCs w:val="22"/>
              </w:rPr>
            </w:pPr>
            <w:r w:rsidRPr="009D3172">
              <w:rPr>
                <w:rFonts w:eastAsia="新細明體"/>
                <w:kern w:val="0"/>
                <w:sz w:val="22"/>
                <w:szCs w:val="22"/>
              </w:rPr>
              <w:t>6,258,763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3172" w:rsidRPr="009D3172" w:rsidRDefault="009D3172" w:rsidP="009D3172">
            <w:pPr>
              <w:widowControl/>
              <w:jc w:val="center"/>
              <w:rPr>
                <w:rFonts w:eastAsia="新細明體"/>
                <w:kern w:val="0"/>
                <w:sz w:val="22"/>
                <w:szCs w:val="22"/>
              </w:rPr>
            </w:pPr>
            <w:r w:rsidRPr="009D3172">
              <w:rPr>
                <w:rFonts w:eastAsia="新細明體"/>
                <w:kern w:val="0"/>
                <w:sz w:val="22"/>
                <w:szCs w:val="22"/>
              </w:rPr>
              <w:t>1,883,867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3172" w:rsidRPr="009D3172" w:rsidRDefault="009D3172" w:rsidP="009D3172">
            <w:pPr>
              <w:widowControl/>
              <w:jc w:val="center"/>
              <w:rPr>
                <w:rFonts w:eastAsia="新細明體"/>
                <w:kern w:val="0"/>
                <w:sz w:val="22"/>
                <w:szCs w:val="22"/>
              </w:rPr>
            </w:pPr>
            <w:r w:rsidRPr="009D3172">
              <w:rPr>
                <w:rFonts w:eastAsia="新細明體"/>
                <w:kern w:val="0"/>
                <w:sz w:val="22"/>
                <w:szCs w:val="22"/>
              </w:rPr>
              <w:t>1,850,121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D3172" w:rsidRPr="009D3172" w:rsidRDefault="009D3172" w:rsidP="009D3172">
            <w:pPr>
              <w:widowControl/>
              <w:jc w:val="center"/>
              <w:rPr>
                <w:rFonts w:eastAsia="新細明體"/>
                <w:kern w:val="0"/>
                <w:sz w:val="22"/>
                <w:szCs w:val="22"/>
              </w:rPr>
            </w:pPr>
            <w:r w:rsidRPr="009D3172">
              <w:rPr>
                <w:rFonts w:eastAsia="新細明體"/>
                <w:kern w:val="0"/>
                <w:sz w:val="22"/>
                <w:szCs w:val="22"/>
              </w:rPr>
              <w:t>26,576,317</w:t>
            </w:r>
          </w:p>
        </w:tc>
      </w:tr>
    </w:tbl>
    <w:p w:rsidR="009D3172" w:rsidRDefault="009D3172" w:rsidP="00770521"/>
    <w:p w:rsidR="009D3172" w:rsidRDefault="009D3172" w:rsidP="00770521"/>
    <w:p w:rsidR="009D3172" w:rsidRDefault="009D3172" w:rsidP="00770521"/>
    <w:p w:rsidR="009D3172" w:rsidRDefault="009D3172" w:rsidP="00770521"/>
    <w:p w:rsidR="009D3172" w:rsidRDefault="009D3172" w:rsidP="00770521">
      <w:r>
        <w:rPr>
          <w:noProof/>
        </w:rPr>
        <w:drawing>
          <wp:inline distT="0" distB="0" distL="0" distR="0" wp14:anchorId="216208F7" wp14:editId="6ABCA9CD">
            <wp:extent cx="5274310" cy="2911859"/>
            <wp:effectExtent l="0" t="0" r="21590" b="22225"/>
            <wp:docPr id="30" name="圖表 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9D3172" w:rsidRDefault="009D3172" w:rsidP="00770521"/>
    <w:p w:rsidR="00770521" w:rsidRDefault="00770521" w:rsidP="00770521"/>
    <w:sectPr w:rsidR="0077052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819" w:rsidRDefault="00FB7819" w:rsidP="008F6E0B">
      <w:r>
        <w:separator/>
      </w:r>
    </w:p>
  </w:endnote>
  <w:endnote w:type="continuationSeparator" w:id="0">
    <w:p w:rsidR="00FB7819" w:rsidRDefault="00FB7819" w:rsidP="008F6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華康魏碑體">
    <w:altName w:val="標楷體"/>
    <w:charset w:val="88"/>
    <w:family w:val="script"/>
    <w:pitch w:val="fixed"/>
    <w:sig w:usb0="80000001" w:usb1="28091800" w:usb2="00000016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819" w:rsidRDefault="00FB7819" w:rsidP="008F6E0B">
      <w:r>
        <w:separator/>
      </w:r>
    </w:p>
  </w:footnote>
  <w:footnote w:type="continuationSeparator" w:id="0">
    <w:p w:rsidR="00FB7819" w:rsidRDefault="00FB7819" w:rsidP="008F6E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521"/>
    <w:rsid w:val="000046C8"/>
    <w:rsid w:val="000431D8"/>
    <w:rsid w:val="0025646C"/>
    <w:rsid w:val="003B7455"/>
    <w:rsid w:val="00454A8B"/>
    <w:rsid w:val="00746D0B"/>
    <w:rsid w:val="00770521"/>
    <w:rsid w:val="007912BF"/>
    <w:rsid w:val="007F1762"/>
    <w:rsid w:val="008A1925"/>
    <w:rsid w:val="008F2148"/>
    <w:rsid w:val="008F6E0B"/>
    <w:rsid w:val="009D3172"/>
    <w:rsid w:val="009F1171"/>
    <w:rsid w:val="00AD4ABC"/>
    <w:rsid w:val="00AE5EB7"/>
    <w:rsid w:val="00C03AE0"/>
    <w:rsid w:val="00D96044"/>
    <w:rsid w:val="00E553D0"/>
    <w:rsid w:val="00E725E0"/>
    <w:rsid w:val="00EE3663"/>
    <w:rsid w:val="00F94582"/>
    <w:rsid w:val="00FB7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521"/>
    <w:pPr>
      <w:widowControl w:val="0"/>
    </w:pPr>
    <w:rPr>
      <w:rFonts w:ascii="Times New Roman" w:eastAsia="標楷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521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770521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F6E0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8F6E0B"/>
    <w:rPr>
      <w:rFonts w:ascii="Times New Roman" w:eastAsia="標楷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F6E0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8F6E0B"/>
    <w:rPr>
      <w:rFonts w:ascii="Times New Roman" w:eastAsia="標楷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521"/>
    <w:pPr>
      <w:widowControl w:val="0"/>
    </w:pPr>
    <w:rPr>
      <w:rFonts w:ascii="Times New Roman" w:eastAsia="標楷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521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770521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F6E0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8F6E0B"/>
    <w:rPr>
      <w:rFonts w:ascii="Times New Roman" w:eastAsia="標楷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F6E0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8F6E0B"/>
    <w:rPr>
      <w:rFonts w:ascii="Times New Roman" w:eastAsia="標楷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60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chart" Target="charts/chart5.xml"/><Relationship Id="rId18" Type="http://schemas.openxmlformats.org/officeDocument/2006/relationships/chart" Target="charts/chart10.xml"/><Relationship Id="rId3" Type="http://schemas.openxmlformats.org/officeDocument/2006/relationships/settings" Target="settings.xml"/><Relationship Id="rId21" Type="http://schemas.openxmlformats.org/officeDocument/2006/relationships/chart" Target="charts/chart12.xml"/><Relationship Id="rId7" Type="http://schemas.openxmlformats.org/officeDocument/2006/relationships/image" Target="media/image1.wmf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" Type="http://schemas.microsoft.com/office/2007/relationships/stylesWithEffects" Target="stylesWithEffects.xml"/><Relationship Id="rId16" Type="http://schemas.openxmlformats.org/officeDocument/2006/relationships/chart" Target="charts/chart8.xml"/><Relationship Id="rId20" Type="http://schemas.openxmlformats.org/officeDocument/2006/relationships/image" Target="media/image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hart" Target="charts/chart3.xml"/><Relationship Id="rId5" Type="http://schemas.openxmlformats.org/officeDocument/2006/relationships/footnotes" Target="footnotes.xml"/><Relationship Id="rId15" Type="http://schemas.openxmlformats.org/officeDocument/2006/relationships/chart" Target="charts/chart7.xml"/><Relationship Id="rId23" Type="http://schemas.openxmlformats.org/officeDocument/2006/relationships/theme" Target="theme/theme1.xml"/><Relationship Id="rId10" Type="http://schemas.openxmlformats.org/officeDocument/2006/relationships/chart" Target="charts/chart2.xml"/><Relationship Id="rId19" Type="http://schemas.openxmlformats.org/officeDocument/2006/relationships/chart" Target="charts/chart11.xml"/><Relationship Id="rId4" Type="http://schemas.openxmlformats.org/officeDocument/2006/relationships/webSettings" Target="webSetting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FAW7_01\Desktop\1020912_&#20462;&#27491;100&#24180;&#28417;&#26989;&#35519;&#26597;&#32113;&#35336;&#24180;&#22577;\100&#24180;&#32113;&#35336;&#22294;\100&#22294;3-14.xls" TargetMode="External"/></Relationships>
</file>

<file path=word/charts/_rels/chart10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.xml"/><Relationship Id="rId1" Type="http://schemas.openxmlformats.org/officeDocument/2006/relationships/oleObject" Target="file:///C:\Users\FAW7_01\Desktop\1020912_&#20462;&#27491;100&#24180;&#28417;&#26989;&#35519;&#26597;&#32113;&#35336;&#24180;&#22577;\100&#24180;&#32113;&#35336;&#22294;\100&#22294;3-14.xls" TargetMode="External"/></Relationships>
</file>

<file path=word/charts/_rels/chart1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4.xml"/><Relationship Id="rId1" Type="http://schemas.openxmlformats.org/officeDocument/2006/relationships/oleObject" Target="file:///C:\Users\FAW7_01\Desktop\1020912_&#20462;&#27491;100&#24180;&#28417;&#26989;&#35519;&#26597;&#32113;&#35336;&#24180;&#22577;\100&#24180;&#32113;&#35336;&#22294;\100&#22294;3-14.xls" TargetMode="External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FAW7_01\Desktop\1020912_&#20462;&#27491;100&#24180;&#28417;&#26989;&#35519;&#26597;&#32113;&#35336;&#24180;&#22577;\100&#24180;&#32113;&#35336;&#22294;\100&#22294;3-14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FAW7_01\Desktop\1020912_&#20462;&#27491;100&#24180;&#28417;&#26989;&#35519;&#26597;&#32113;&#35336;&#24180;&#22577;\100&#24180;&#32113;&#35336;&#22294;\100&#22294;3-14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FAW7_01\Desktop\1020912_&#20462;&#27491;100&#24180;&#28417;&#26989;&#35519;&#26597;&#32113;&#35336;&#24180;&#22577;\100&#24180;&#32113;&#35336;&#22294;\100&#22294;3-14.xls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FAW7_01\Desktop\1020912_&#20462;&#27491;100&#24180;&#28417;&#26989;&#35519;&#26597;&#32113;&#35336;&#24180;&#22577;\100&#24180;&#32113;&#35336;&#22294;\100&#22294;3-14.xls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FAW7_01\Desktop\1020912_&#20462;&#27491;100&#24180;&#28417;&#26989;&#35519;&#26597;&#32113;&#35336;&#24180;&#22577;\100&#24180;&#32113;&#35336;&#22294;\100&#22294;3-14.xls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FAW7_01\Desktop\1020912_&#20462;&#27491;100&#24180;&#28417;&#26989;&#35519;&#26597;&#32113;&#35336;&#24180;&#22577;\100&#24180;&#32113;&#35336;&#22294;\100&#22294;3-14.xls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FAW7_01\Desktop\1020912_&#20462;&#27491;100&#24180;&#28417;&#26989;&#35519;&#26597;&#32113;&#35336;&#24180;&#22577;\100&#24180;&#32113;&#35336;&#22294;\100&#22294;3-14.xls" TargetMode="Externa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Users\FAW7_01\Desktop\1020912_&#20462;&#27491;100&#24180;&#28417;&#26989;&#35519;&#26597;&#32113;&#35336;&#24180;&#22577;\100&#24180;&#32113;&#35336;&#22294;\100&#22294;3-14.xls" TargetMode="External"/></Relationships>
</file>

<file path=word/charts/_rels/chart9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file:///C:\Users\FAW7_01\Desktop\1020912_&#20462;&#27491;100&#24180;&#28417;&#26989;&#35519;&#26597;&#32113;&#35336;&#24180;&#22577;\100&#24180;&#32113;&#35336;&#22294;\100&#22294;3-14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025" b="1" i="0" u="none" strike="noStrike" baseline="0">
                <a:solidFill>
                  <a:srgbClr val="000000"/>
                </a:solidFill>
                <a:latin typeface="新細明體"/>
                <a:ea typeface="新細明體"/>
              </a:rPr>
              <a:t>圖３． 近十年漁業從業人數</a:t>
            </a:r>
            <a:endParaRPr lang="zh-TW" altLang="en-US" sz="1075" b="1" i="0" u="none" strike="noStrike" baseline="0">
              <a:solidFill>
                <a:srgbClr val="000000"/>
              </a:solidFill>
              <a:latin typeface="標楷體"/>
              <a:ea typeface="標楷體"/>
            </a:endParaRPr>
          </a:p>
          <a:p>
            <a:pPr>
              <a:defRPr sz="800" b="0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075" b="1" i="0" u="none" strike="noStrike" baseline="0">
                <a:solidFill>
                  <a:srgbClr val="000000"/>
                </a:solidFill>
                <a:latin typeface="Times New Roman"/>
                <a:cs typeface="Times New Roman"/>
              </a:rPr>
              <a:t> </a:t>
            </a:r>
            <a:r>
              <a:rPr lang="zh-TW" altLang="en-US" sz="1025" b="1" i="0" u="none" strike="noStrike" baseline="0">
                <a:solidFill>
                  <a:srgbClr val="000000"/>
                </a:solidFill>
                <a:latin typeface="Times New Roman"/>
                <a:cs typeface="Times New Roman"/>
              </a:rPr>
              <a:t>Number of Person Employed, 2002-2011 </a:t>
            </a:r>
            <a:endParaRPr lang="zh-TW" altLang="en-US" sz="1075" b="1" i="0" u="none" strike="noStrike" baseline="0">
              <a:solidFill>
                <a:srgbClr val="000000"/>
              </a:solidFill>
              <a:latin typeface="Times New Roman"/>
              <a:cs typeface="Times New Roman"/>
            </a:endParaRPr>
          </a:p>
          <a:p>
            <a:pPr>
              <a:defRPr sz="800" b="0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endParaRPr lang="zh-TW" altLang="en-US"/>
          </a:p>
        </c:rich>
      </c:tx>
      <c:layout>
        <c:manualLayout>
          <c:xMode val="edge"/>
          <c:yMode val="edge"/>
          <c:x val="0.3220631014873141"/>
          <c:y val="0.86102444225721786"/>
        </c:manualLayout>
      </c:layout>
      <c:overlay val="0"/>
      <c:spPr>
        <a:noFill/>
        <a:ln w="25400">
          <a:noFill/>
        </a:ln>
      </c:spPr>
    </c:title>
    <c:autoTitleDeleted val="0"/>
    <c:view3D>
      <c:rotX val="36"/>
      <c:hPercent val="67"/>
      <c:rotY val="44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gradFill rotWithShape="0">
          <a:gsLst>
            <a:gs pos="0">
              <a:srgbClr val="FFFFFF"/>
            </a:gs>
            <a:gs pos="100000">
              <a:srgbClr val="99CCFF"/>
            </a:gs>
          </a:gsLst>
          <a:lin ang="5400000" scaled="1"/>
        </a:gradFill>
        <a:ln w="25400">
          <a:noFill/>
        </a:ln>
      </c:spPr>
    </c:sideWall>
    <c:backWall>
      <c:thickness val="0"/>
      <c:spPr>
        <a:gradFill rotWithShape="0">
          <a:gsLst>
            <a:gs pos="0">
              <a:srgbClr val="FFFFFF"/>
            </a:gs>
            <a:gs pos="100000">
              <a:srgbClr val="99CCFF"/>
            </a:gs>
          </a:gsLst>
          <a:lin ang="5400000" scaled="1"/>
        </a:gradFill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4.7016622922134731E-2"/>
          <c:y val="0.12731490594925632"/>
          <c:w val="0.95298337707786529"/>
          <c:h val="0.63001569571245453"/>
        </c:manualLayout>
      </c:layout>
      <c:area3DChart>
        <c:grouping val="stacked"/>
        <c:varyColors val="0"/>
        <c:ser>
          <c:idx val="6"/>
          <c:order val="0"/>
          <c:tx>
            <c:strRef>
              <c:f>'3data'!$C$2</c:f>
              <c:strCache>
                <c:ptCount val="1"/>
                <c:pt idx="0">
                  <c:v>內陸漁撈 INLAND FISHING FISHERIES</c:v>
                </c:pt>
              </c:strCache>
            </c:strRef>
          </c:tx>
          <c:spPr>
            <a:solidFill>
              <a:srgbClr val="339966"/>
            </a:solidFill>
            <a:ln w="12700">
              <a:solidFill>
                <a:srgbClr val="000000"/>
              </a:solidFill>
              <a:prstDash val="solid"/>
            </a:ln>
          </c:spPr>
          <c:cat>
            <c:multiLvlStrRef>
              <c:f>'3data'!$A$3:$B$12</c:f>
              <c:multiLvlStrCache>
                <c:ptCount val="10"/>
                <c:lvl>
                  <c:pt idx="0">
                    <c:v>91</c:v>
                  </c:pt>
                  <c:pt idx="1">
                    <c:v>92</c:v>
                  </c:pt>
                  <c:pt idx="2">
                    <c:v>93</c:v>
                  </c:pt>
                  <c:pt idx="3">
                    <c:v>94</c:v>
                  </c:pt>
                  <c:pt idx="4">
                    <c:v>95</c:v>
                  </c:pt>
                  <c:pt idx="5">
                    <c:v>96</c:v>
                  </c:pt>
                  <c:pt idx="6">
                    <c:v>97</c:v>
                  </c:pt>
                  <c:pt idx="7">
                    <c:v>98</c:v>
                  </c:pt>
                  <c:pt idx="8">
                    <c:v>99</c:v>
                  </c:pt>
                  <c:pt idx="9">
                    <c:v>100</c:v>
                  </c:pt>
                </c:lvl>
                <c:lvl>
                  <c:pt idx="0">
                    <c:v>2002</c:v>
                  </c:pt>
                  <c:pt idx="1">
                    <c:v>2003</c:v>
                  </c:pt>
                  <c:pt idx="2">
                    <c:v>2004</c:v>
                  </c:pt>
                  <c:pt idx="3">
                    <c:v>2005</c:v>
                  </c:pt>
                  <c:pt idx="4">
                    <c:v>2006</c:v>
                  </c:pt>
                  <c:pt idx="5">
                    <c:v>2007</c:v>
                  </c:pt>
                  <c:pt idx="6">
                    <c:v>2008</c:v>
                  </c:pt>
                  <c:pt idx="7">
                    <c:v>2009</c:v>
                  </c:pt>
                  <c:pt idx="8">
                    <c:v>2010</c:v>
                  </c:pt>
                  <c:pt idx="9">
                    <c:v>2011</c:v>
                  </c:pt>
                </c:lvl>
              </c:multiLvlStrCache>
            </c:multiLvlStrRef>
          </c:cat>
          <c:val>
            <c:numRef>
              <c:f>'3data'!$C$3:$C$12</c:f>
              <c:numCache>
                <c:formatCode>0.000;[Red]0.000</c:formatCode>
                <c:ptCount val="10"/>
                <c:pt idx="0">
                  <c:v>6.3659999999999997</c:v>
                </c:pt>
                <c:pt idx="1">
                  <c:v>7.2370000000000001</c:v>
                </c:pt>
                <c:pt idx="2">
                  <c:v>10.388</c:v>
                </c:pt>
                <c:pt idx="3">
                  <c:v>8.1539999999999999</c:v>
                </c:pt>
                <c:pt idx="4" formatCode="General">
                  <c:v>7.1840000000000002</c:v>
                </c:pt>
                <c:pt idx="5" formatCode="General">
                  <c:v>7.4370000000000003</c:v>
                </c:pt>
                <c:pt idx="6" formatCode="General">
                  <c:v>6.7670000000000003</c:v>
                </c:pt>
                <c:pt idx="7" formatCode="General">
                  <c:v>7.1849999999999996</c:v>
                </c:pt>
                <c:pt idx="8" formatCode="General">
                  <c:v>7.7489999999999997</c:v>
                </c:pt>
                <c:pt idx="9" formatCode="General">
                  <c:v>12.321</c:v>
                </c:pt>
              </c:numCache>
            </c:numRef>
          </c:val>
        </c:ser>
        <c:ser>
          <c:idx val="7"/>
          <c:order val="1"/>
          <c:tx>
            <c:strRef>
              <c:f>'3data'!$D$2</c:f>
              <c:strCache>
                <c:ptCount val="1"/>
                <c:pt idx="0">
                  <c:v>海面養殖 MARINE CULTURE</c:v>
                </c:pt>
              </c:strCache>
            </c:strRef>
          </c:tx>
          <c:spPr>
            <a:solidFill>
              <a:srgbClr val="0000FF"/>
            </a:solidFill>
            <a:ln w="12700">
              <a:solidFill>
                <a:srgbClr val="000000"/>
              </a:solidFill>
              <a:prstDash val="solid"/>
            </a:ln>
          </c:spPr>
          <c:cat>
            <c:multiLvlStrRef>
              <c:f>'3data'!$A$3:$B$12</c:f>
              <c:multiLvlStrCache>
                <c:ptCount val="10"/>
                <c:lvl>
                  <c:pt idx="0">
                    <c:v>91</c:v>
                  </c:pt>
                  <c:pt idx="1">
                    <c:v>92</c:v>
                  </c:pt>
                  <c:pt idx="2">
                    <c:v>93</c:v>
                  </c:pt>
                  <c:pt idx="3">
                    <c:v>94</c:v>
                  </c:pt>
                  <c:pt idx="4">
                    <c:v>95</c:v>
                  </c:pt>
                  <c:pt idx="5">
                    <c:v>96</c:v>
                  </c:pt>
                  <c:pt idx="6">
                    <c:v>97</c:v>
                  </c:pt>
                  <c:pt idx="7">
                    <c:v>98</c:v>
                  </c:pt>
                  <c:pt idx="8">
                    <c:v>99</c:v>
                  </c:pt>
                  <c:pt idx="9">
                    <c:v>100</c:v>
                  </c:pt>
                </c:lvl>
                <c:lvl>
                  <c:pt idx="0">
                    <c:v>2002</c:v>
                  </c:pt>
                  <c:pt idx="1">
                    <c:v>2003</c:v>
                  </c:pt>
                  <c:pt idx="2">
                    <c:v>2004</c:v>
                  </c:pt>
                  <c:pt idx="3">
                    <c:v>2005</c:v>
                  </c:pt>
                  <c:pt idx="4">
                    <c:v>2006</c:v>
                  </c:pt>
                  <c:pt idx="5">
                    <c:v>2007</c:v>
                  </c:pt>
                  <c:pt idx="6">
                    <c:v>2008</c:v>
                  </c:pt>
                  <c:pt idx="7">
                    <c:v>2009</c:v>
                  </c:pt>
                  <c:pt idx="8">
                    <c:v>2010</c:v>
                  </c:pt>
                  <c:pt idx="9">
                    <c:v>2011</c:v>
                  </c:pt>
                </c:lvl>
              </c:multiLvlStrCache>
            </c:multiLvlStrRef>
          </c:cat>
          <c:val>
            <c:numRef>
              <c:f>'3data'!$D$3:$D$12</c:f>
              <c:numCache>
                <c:formatCode>0.000;[Red]0.000</c:formatCode>
                <c:ptCount val="10"/>
                <c:pt idx="0">
                  <c:v>18.686</c:v>
                </c:pt>
                <c:pt idx="1">
                  <c:v>17.527999999999999</c:v>
                </c:pt>
                <c:pt idx="2">
                  <c:v>17.664000000000001</c:v>
                </c:pt>
                <c:pt idx="3">
                  <c:v>19.364999999999998</c:v>
                </c:pt>
                <c:pt idx="4" formatCode="General">
                  <c:v>22.381</c:v>
                </c:pt>
                <c:pt idx="5" formatCode="General">
                  <c:v>22.338999999999999</c:v>
                </c:pt>
                <c:pt idx="6" formatCode="General">
                  <c:v>22.690999999999999</c:v>
                </c:pt>
                <c:pt idx="7" formatCode="General">
                  <c:v>31.562999999999999</c:v>
                </c:pt>
                <c:pt idx="8" formatCode="General">
                  <c:v>22.183</c:v>
                </c:pt>
                <c:pt idx="9" formatCode="General">
                  <c:v>23.882999999999999</c:v>
                </c:pt>
              </c:numCache>
            </c:numRef>
          </c:val>
        </c:ser>
        <c:ser>
          <c:idx val="0"/>
          <c:order val="2"/>
          <c:tx>
            <c:strRef>
              <c:f>'3data'!$E$2</c:f>
              <c:strCache>
                <c:ptCount val="1"/>
                <c:pt idx="0">
                  <c:v>內陸養殖 INLAND CULTURE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cat>
            <c:multiLvlStrRef>
              <c:f>'3data'!$A$3:$B$12</c:f>
              <c:multiLvlStrCache>
                <c:ptCount val="10"/>
                <c:lvl>
                  <c:pt idx="0">
                    <c:v>91</c:v>
                  </c:pt>
                  <c:pt idx="1">
                    <c:v>92</c:v>
                  </c:pt>
                  <c:pt idx="2">
                    <c:v>93</c:v>
                  </c:pt>
                  <c:pt idx="3">
                    <c:v>94</c:v>
                  </c:pt>
                  <c:pt idx="4">
                    <c:v>95</c:v>
                  </c:pt>
                  <c:pt idx="5">
                    <c:v>96</c:v>
                  </c:pt>
                  <c:pt idx="6">
                    <c:v>97</c:v>
                  </c:pt>
                  <c:pt idx="7">
                    <c:v>98</c:v>
                  </c:pt>
                  <c:pt idx="8">
                    <c:v>99</c:v>
                  </c:pt>
                  <c:pt idx="9">
                    <c:v>100</c:v>
                  </c:pt>
                </c:lvl>
                <c:lvl>
                  <c:pt idx="0">
                    <c:v>2002</c:v>
                  </c:pt>
                  <c:pt idx="1">
                    <c:v>2003</c:v>
                  </c:pt>
                  <c:pt idx="2">
                    <c:v>2004</c:v>
                  </c:pt>
                  <c:pt idx="3">
                    <c:v>2005</c:v>
                  </c:pt>
                  <c:pt idx="4">
                    <c:v>2006</c:v>
                  </c:pt>
                  <c:pt idx="5">
                    <c:v>2007</c:v>
                  </c:pt>
                  <c:pt idx="6">
                    <c:v>2008</c:v>
                  </c:pt>
                  <c:pt idx="7">
                    <c:v>2009</c:v>
                  </c:pt>
                  <c:pt idx="8">
                    <c:v>2010</c:v>
                  </c:pt>
                  <c:pt idx="9">
                    <c:v>2011</c:v>
                  </c:pt>
                </c:lvl>
              </c:multiLvlStrCache>
            </c:multiLvlStrRef>
          </c:cat>
          <c:val>
            <c:numRef>
              <c:f>'3data'!$E$3:$E$12</c:f>
              <c:numCache>
                <c:formatCode>0.000;[Red]0.000</c:formatCode>
                <c:ptCount val="10"/>
                <c:pt idx="0">
                  <c:v>80.427999999999997</c:v>
                </c:pt>
                <c:pt idx="1">
                  <c:v>85.424999999999997</c:v>
                </c:pt>
                <c:pt idx="2">
                  <c:v>81.88</c:v>
                </c:pt>
                <c:pt idx="3">
                  <c:v>85.757999999999996</c:v>
                </c:pt>
                <c:pt idx="4" formatCode="General">
                  <c:v>86.600999999999999</c:v>
                </c:pt>
                <c:pt idx="5" formatCode="General">
                  <c:v>76.138000000000005</c:v>
                </c:pt>
                <c:pt idx="6" formatCode="General">
                  <c:v>70.878</c:v>
                </c:pt>
                <c:pt idx="7" formatCode="General">
                  <c:v>60.460999999999999</c:v>
                </c:pt>
                <c:pt idx="8" formatCode="General">
                  <c:v>61.338999999999999</c:v>
                </c:pt>
                <c:pt idx="9" formatCode="General">
                  <c:v>57.936</c:v>
                </c:pt>
              </c:numCache>
            </c:numRef>
          </c:val>
        </c:ser>
        <c:ser>
          <c:idx val="1"/>
          <c:order val="3"/>
          <c:tx>
            <c:strRef>
              <c:f>'3data'!$F$2</c:f>
              <c:strCache>
                <c:ptCount val="1"/>
                <c:pt idx="0">
                  <c:v>沿岸漁業 COASTAL FISHERIES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cat>
            <c:multiLvlStrRef>
              <c:f>'3data'!$A$3:$B$12</c:f>
              <c:multiLvlStrCache>
                <c:ptCount val="10"/>
                <c:lvl>
                  <c:pt idx="0">
                    <c:v>91</c:v>
                  </c:pt>
                  <c:pt idx="1">
                    <c:v>92</c:v>
                  </c:pt>
                  <c:pt idx="2">
                    <c:v>93</c:v>
                  </c:pt>
                  <c:pt idx="3">
                    <c:v>94</c:v>
                  </c:pt>
                  <c:pt idx="4">
                    <c:v>95</c:v>
                  </c:pt>
                  <c:pt idx="5">
                    <c:v>96</c:v>
                  </c:pt>
                  <c:pt idx="6">
                    <c:v>97</c:v>
                  </c:pt>
                  <c:pt idx="7">
                    <c:v>98</c:v>
                  </c:pt>
                  <c:pt idx="8">
                    <c:v>99</c:v>
                  </c:pt>
                  <c:pt idx="9">
                    <c:v>100</c:v>
                  </c:pt>
                </c:lvl>
                <c:lvl>
                  <c:pt idx="0">
                    <c:v>2002</c:v>
                  </c:pt>
                  <c:pt idx="1">
                    <c:v>2003</c:v>
                  </c:pt>
                  <c:pt idx="2">
                    <c:v>2004</c:v>
                  </c:pt>
                  <c:pt idx="3">
                    <c:v>2005</c:v>
                  </c:pt>
                  <c:pt idx="4">
                    <c:v>2006</c:v>
                  </c:pt>
                  <c:pt idx="5">
                    <c:v>2007</c:v>
                  </c:pt>
                  <c:pt idx="6">
                    <c:v>2008</c:v>
                  </c:pt>
                  <c:pt idx="7">
                    <c:v>2009</c:v>
                  </c:pt>
                  <c:pt idx="8">
                    <c:v>2010</c:v>
                  </c:pt>
                  <c:pt idx="9">
                    <c:v>2011</c:v>
                  </c:pt>
                </c:lvl>
              </c:multiLvlStrCache>
            </c:multiLvlStrRef>
          </c:cat>
          <c:val>
            <c:numRef>
              <c:f>'3data'!$F$3:$F$12</c:f>
              <c:numCache>
                <c:formatCode>0.000;[Red]0.000</c:formatCode>
                <c:ptCount val="10"/>
                <c:pt idx="0">
                  <c:v>136.37200000000001</c:v>
                </c:pt>
                <c:pt idx="1">
                  <c:v>135.083</c:v>
                </c:pt>
                <c:pt idx="2">
                  <c:v>140.48500000000001</c:v>
                </c:pt>
                <c:pt idx="3">
                  <c:v>149.458</c:v>
                </c:pt>
                <c:pt idx="4" formatCode="General">
                  <c:v>148.32599999999999</c:v>
                </c:pt>
                <c:pt idx="5" formatCode="General">
                  <c:v>144.82300000000001</c:v>
                </c:pt>
                <c:pt idx="6" formatCode="General">
                  <c:v>150.001</c:v>
                </c:pt>
                <c:pt idx="7" formatCode="General">
                  <c:v>158.541</c:v>
                </c:pt>
                <c:pt idx="8" formatCode="General">
                  <c:v>163.74600000000001</c:v>
                </c:pt>
                <c:pt idx="9" formatCode="General">
                  <c:v>161.03700000000001</c:v>
                </c:pt>
              </c:numCache>
            </c:numRef>
          </c:val>
        </c:ser>
        <c:ser>
          <c:idx val="2"/>
          <c:order val="4"/>
          <c:tx>
            <c:strRef>
              <c:f>'3data'!$G$2</c:f>
              <c:strCache>
                <c:ptCount val="1"/>
                <c:pt idx="0">
                  <c:v>近海漁業OFFSHORE FISHERIES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cat>
            <c:multiLvlStrRef>
              <c:f>'3data'!$A$3:$B$12</c:f>
              <c:multiLvlStrCache>
                <c:ptCount val="10"/>
                <c:lvl>
                  <c:pt idx="0">
                    <c:v>91</c:v>
                  </c:pt>
                  <c:pt idx="1">
                    <c:v>92</c:v>
                  </c:pt>
                  <c:pt idx="2">
                    <c:v>93</c:v>
                  </c:pt>
                  <c:pt idx="3">
                    <c:v>94</c:v>
                  </c:pt>
                  <c:pt idx="4">
                    <c:v>95</c:v>
                  </c:pt>
                  <c:pt idx="5">
                    <c:v>96</c:v>
                  </c:pt>
                  <c:pt idx="6">
                    <c:v>97</c:v>
                  </c:pt>
                  <c:pt idx="7">
                    <c:v>98</c:v>
                  </c:pt>
                  <c:pt idx="8">
                    <c:v>99</c:v>
                  </c:pt>
                  <c:pt idx="9">
                    <c:v>100</c:v>
                  </c:pt>
                </c:lvl>
                <c:lvl>
                  <c:pt idx="0">
                    <c:v>2002</c:v>
                  </c:pt>
                  <c:pt idx="1">
                    <c:v>2003</c:v>
                  </c:pt>
                  <c:pt idx="2">
                    <c:v>2004</c:v>
                  </c:pt>
                  <c:pt idx="3">
                    <c:v>2005</c:v>
                  </c:pt>
                  <c:pt idx="4">
                    <c:v>2006</c:v>
                  </c:pt>
                  <c:pt idx="5">
                    <c:v>2007</c:v>
                  </c:pt>
                  <c:pt idx="6">
                    <c:v>2008</c:v>
                  </c:pt>
                  <c:pt idx="7">
                    <c:v>2009</c:v>
                  </c:pt>
                  <c:pt idx="8">
                    <c:v>2010</c:v>
                  </c:pt>
                  <c:pt idx="9">
                    <c:v>2011</c:v>
                  </c:pt>
                </c:lvl>
              </c:multiLvlStrCache>
            </c:multiLvlStrRef>
          </c:cat>
          <c:val>
            <c:numRef>
              <c:f>'3data'!$G$3:$G$12</c:f>
              <c:numCache>
                <c:formatCode>0.000;[Red]0.000</c:formatCode>
                <c:ptCount val="10"/>
                <c:pt idx="0">
                  <c:v>81.403999999999996</c:v>
                </c:pt>
                <c:pt idx="1">
                  <c:v>80.477999999999994</c:v>
                </c:pt>
                <c:pt idx="2">
                  <c:v>78.307000000000002</c:v>
                </c:pt>
                <c:pt idx="3">
                  <c:v>71.811000000000007</c:v>
                </c:pt>
                <c:pt idx="4" formatCode="General">
                  <c:v>72.316000000000003</c:v>
                </c:pt>
                <c:pt idx="5" formatCode="General">
                  <c:v>68.039000000000001</c:v>
                </c:pt>
                <c:pt idx="6" formatCode="General">
                  <c:v>83.766999999999996</c:v>
                </c:pt>
                <c:pt idx="7" formatCode="General">
                  <c:v>66.900999999999996</c:v>
                </c:pt>
                <c:pt idx="8" formatCode="General">
                  <c:v>59.241</c:v>
                </c:pt>
                <c:pt idx="9" formatCode="General">
                  <c:v>58.295999999999999</c:v>
                </c:pt>
              </c:numCache>
            </c:numRef>
          </c:val>
        </c:ser>
        <c:ser>
          <c:idx val="3"/>
          <c:order val="5"/>
          <c:tx>
            <c:strRef>
              <c:f>'3data'!$H$2</c:f>
              <c:strCache>
                <c:ptCount val="1"/>
                <c:pt idx="0">
                  <c:v>遠洋漁業 FAR SEA FISHERIES</c:v>
                </c:pt>
              </c:strCache>
            </c:strRef>
          </c:tx>
          <c:spPr>
            <a:solidFill>
              <a:srgbClr val="CCFFFF"/>
            </a:solidFill>
            <a:ln w="12700">
              <a:solidFill>
                <a:srgbClr val="000000"/>
              </a:solidFill>
              <a:prstDash val="solid"/>
            </a:ln>
          </c:spPr>
          <c:cat>
            <c:multiLvlStrRef>
              <c:f>'3data'!$A$3:$B$12</c:f>
              <c:multiLvlStrCache>
                <c:ptCount val="10"/>
                <c:lvl>
                  <c:pt idx="0">
                    <c:v>91</c:v>
                  </c:pt>
                  <c:pt idx="1">
                    <c:v>92</c:v>
                  </c:pt>
                  <c:pt idx="2">
                    <c:v>93</c:v>
                  </c:pt>
                  <c:pt idx="3">
                    <c:v>94</c:v>
                  </c:pt>
                  <c:pt idx="4">
                    <c:v>95</c:v>
                  </c:pt>
                  <c:pt idx="5">
                    <c:v>96</c:v>
                  </c:pt>
                  <c:pt idx="6">
                    <c:v>97</c:v>
                  </c:pt>
                  <c:pt idx="7">
                    <c:v>98</c:v>
                  </c:pt>
                  <c:pt idx="8">
                    <c:v>99</c:v>
                  </c:pt>
                  <c:pt idx="9">
                    <c:v>100</c:v>
                  </c:pt>
                </c:lvl>
                <c:lvl>
                  <c:pt idx="0">
                    <c:v>2002</c:v>
                  </c:pt>
                  <c:pt idx="1">
                    <c:v>2003</c:v>
                  </c:pt>
                  <c:pt idx="2">
                    <c:v>2004</c:v>
                  </c:pt>
                  <c:pt idx="3">
                    <c:v>2005</c:v>
                  </c:pt>
                  <c:pt idx="4">
                    <c:v>2006</c:v>
                  </c:pt>
                  <c:pt idx="5">
                    <c:v>2007</c:v>
                  </c:pt>
                  <c:pt idx="6">
                    <c:v>2008</c:v>
                  </c:pt>
                  <c:pt idx="7">
                    <c:v>2009</c:v>
                  </c:pt>
                  <c:pt idx="8">
                    <c:v>2010</c:v>
                  </c:pt>
                  <c:pt idx="9">
                    <c:v>2011</c:v>
                  </c:pt>
                </c:lvl>
              </c:multiLvlStrCache>
            </c:multiLvlStrRef>
          </c:cat>
          <c:val>
            <c:numRef>
              <c:f>'3data'!$H$3:$H$12</c:f>
              <c:numCache>
                <c:formatCode>0.000;[Red]0.000</c:formatCode>
                <c:ptCount val="10"/>
                <c:pt idx="0">
                  <c:v>19.338000000000001</c:v>
                </c:pt>
                <c:pt idx="1">
                  <c:v>19.550999999999998</c:v>
                </c:pt>
                <c:pt idx="2">
                  <c:v>17.619</c:v>
                </c:pt>
                <c:pt idx="3">
                  <c:v>17.157</c:v>
                </c:pt>
                <c:pt idx="4" formatCode="General">
                  <c:v>17.286999999999999</c:v>
                </c:pt>
                <c:pt idx="5" formatCode="General">
                  <c:v>17.405999999999999</c:v>
                </c:pt>
                <c:pt idx="6" formatCode="General">
                  <c:v>17.396000000000001</c:v>
                </c:pt>
                <c:pt idx="7" formatCode="General">
                  <c:v>16.286999999999999</c:v>
                </c:pt>
                <c:pt idx="8" formatCode="General">
                  <c:v>15.923</c:v>
                </c:pt>
                <c:pt idx="9" formatCode="General">
                  <c:v>15.353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5341824"/>
        <c:axId val="75343744"/>
        <c:axId val="0"/>
      </c:area3DChart>
      <c:catAx>
        <c:axId val="7534182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r>
                  <a:rPr lang="zh-TW" altLang="en-US" sz="800" b="1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</a:rPr>
                  <a:t>年別</a:t>
                </a:r>
              </a:p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endParaRPr lang="zh-TW" altLang="en-US" sz="800" b="1" i="0" u="none" strike="noStrike" baseline="0">
                  <a:solidFill>
                    <a:srgbClr val="000000"/>
                  </a:solidFill>
                  <a:latin typeface="新細明體"/>
                  <a:ea typeface="新細明體"/>
                </a:endParaRPr>
              </a:p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r>
                  <a:rPr lang="zh-TW" altLang="en-US" sz="800" b="1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</a:rPr>
                  <a:t>Year</a:t>
                </a:r>
                <a:endParaRPr lang="zh-TW" altLang="en-US" sz="800"/>
              </a:p>
            </c:rich>
          </c:tx>
          <c:layout>
            <c:manualLayout>
              <c:xMode val="edge"/>
              <c:yMode val="edge"/>
              <c:x val="0.79116396908719744"/>
              <c:y val="0.71072452074232773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none"/>
        <c:minorTickMark val="none"/>
        <c:tickLblPos val="low"/>
        <c:spPr>
          <a:ln w="9525">
            <a:noFill/>
          </a:ln>
        </c:spPr>
        <c:txPr>
          <a:bodyPr rot="0" vert="horz"/>
          <a:lstStyle/>
          <a:p>
            <a:pPr>
              <a:defRPr sz="525" b="0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endParaRPr lang="zh-TW"/>
          </a:p>
        </c:txPr>
        <c:crossAx val="7534374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75343744"/>
        <c:scaling>
          <c:orientation val="minMax"/>
        </c:scaling>
        <c:delete val="0"/>
        <c:axPos val="l"/>
        <c:title>
          <c:tx>
            <c:rich>
              <a:bodyPr rot="0" vert="horz"/>
              <a:lstStyle/>
              <a:p>
                <a:pPr algn="ctr">
                  <a:defRPr sz="12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r>
                  <a:rPr lang="zh-TW" altLang="en-US" sz="800" b="1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</a:rPr>
                  <a:t>千人</a:t>
                </a:r>
              </a:p>
              <a:p>
                <a:pPr algn="ctr">
                  <a:defRPr sz="12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r>
                  <a:rPr lang="zh-TW" altLang="en-US" sz="800" b="1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</a:rPr>
                  <a:t>Thousan</a:t>
                </a:r>
                <a:r>
                  <a:rPr lang="zh-TW" altLang="en-US" sz="450" b="1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</a:rPr>
                  <a:t>ds</a:t>
                </a:r>
                <a:endParaRPr lang="zh-TW" altLang="en-US"/>
              </a:p>
            </c:rich>
          </c:tx>
          <c:layout>
            <c:manualLayout>
              <c:xMode val="edge"/>
              <c:yMode val="edge"/>
              <c:x val="0.16855369641294837"/>
              <c:y val="5.6480342784007126E-2"/>
            </c:manualLayout>
          </c:layout>
          <c:overlay val="0"/>
          <c:spPr>
            <a:noFill/>
            <a:ln w="25400">
              <a:noFill/>
            </a:ln>
          </c:spPr>
        </c:title>
        <c:numFmt formatCode="0;[Red]0" sourceLinked="0"/>
        <c:majorTickMark val="in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25" b="0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endParaRPr lang="zh-TW"/>
          </a:p>
        </c:txPr>
        <c:crossAx val="75341824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24473257698541329"/>
          <c:y val="1.1574074074074073E-2"/>
          <c:w val="0.64181523500810378"/>
          <c:h val="0.16898184601924759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550" b="0" i="0" u="none" strike="noStrike" baseline="0">
              <a:solidFill>
                <a:srgbClr val="000000"/>
              </a:solidFill>
              <a:latin typeface="新細明體"/>
              <a:ea typeface="新細明體"/>
              <a:cs typeface="新細明體"/>
            </a:defRPr>
          </a:pPr>
          <a:endParaRPr lang="zh-TW"/>
        </a:p>
      </c:txPr>
    </c:legend>
    <c:plotVisOnly val="1"/>
    <c:dispBlanksAs val="zero"/>
    <c:showDLblsOverMax val="0"/>
  </c:chart>
  <c:spPr>
    <a:noFill/>
    <a:ln w="9525"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新細明體"/>
          <a:ea typeface="新細明體"/>
          <a:cs typeface="新細明體"/>
        </a:defRPr>
      </a:pPr>
      <a:endParaRPr lang="zh-TW"/>
    </a:p>
  </c:txPr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200" b="1" i="0" u="none" strike="noStrike" baseline="0">
                <a:solidFill>
                  <a:srgbClr val="000000"/>
                </a:solidFill>
                <a:latin typeface="新細明體"/>
                <a:ea typeface="新細明體"/>
              </a:rPr>
              <a:t>圖１２．</a:t>
            </a:r>
            <a:r>
              <a:rPr lang="zh-TW" altLang="en-US" sz="1200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 </a:t>
            </a:r>
            <a:r>
              <a:rPr lang="zh-TW" altLang="en-US" sz="12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Times New Roman"/>
              </a:rPr>
              <a:t>近十年水產品貿易量</a:t>
            </a:r>
          </a:p>
          <a:p>
            <a:pPr>
              <a:defRPr sz="12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200" b="1" i="0" u="none" strike="noStrike" baseline="0">
                <a:solidFill>
                  <a:srgbClr val="000000"/>
                </a:solidFill>
                <a:latin typeface="Times New Roman"/>
                <a:cs typeface="Times New Roman"/>
              </a:rPr>
              <a:t>Foreign Trade of Fishery Production, 2002-2011</a:t>
            </a:r>
            <a:endParaRPr lang="zh-TW" altLang="en-US"/>
          </a:p>
        </c:rich>
      </c:tx>
      <c:layout>
        <c:manualLayout>
          <c:xMode val="edge"/>
          <c:yMode val="edge"/>
          <c:x val="0.23024091060782348"/>
          <c:y val="0.83924843423799578"/>
        </c:manualLayout>
      </c:layout>
      <c:overlay val="0"/>
      <c:spPr>
        <a:noFill/>
        <a:ln w="25400">
          <a:noFill/>
        </a:ln>
      </c:spPr>
    </c:title>
    <c:autoTitleDeleted val="0"/>
    <c:view3D>
      <c:rotX val="9"/>
      <c:hPercent val="65"/>
      <c:rotY val="17"/>
      <c:depthPercent val="500"/>
      <c:rAngAx val="1"/>
    </c:view3D>
    <c:floor>
      <c:thickness val="0"/>
      <c:spPr>
        <a:noFill/>
        <a:ln w="9525">
          <a:noFill/>
        </a:ln>
      </c:spPr>
    </c:floor>
    <c:sideWall>
      <c:thickness val="0"/>
      <c:spPr>
        <a:gradFill rotWithShape="0">
          <a:gsLst>
            <a:gs pos="0">
              <a:srgbClr val="FFFFFF"/>
            </a:gs>
            <a:gs pos="100000">
              <a:srgbClr val="99CCFF"/>
            </a:gs>
          </a:gsLst>
          <a:lin ang="5400000" scaled="1"/>
        </a:gradFill>
        <a:ln w="25400">
          <a:noFill/>
        </a:ln>
      </c:spPr>
    </c:sideWall>
    <c:backWall>
      <c:thickness val="0"/>
      <c:spPr>
        <a:gradFill rotWithShape="0">
          <a:gsLst>
            <a:gs pos="0">
              <a:srgbClr val="FFFFFF"/>
            </a:gs>
            <a:gs pos="100000">
              <a:srgbClr val="99CCFF"/>
            </a:gs>
          </a:gsLst>
          <a:lin ang="5400000" scaled="1"/>
        </a:gradFill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0.12714797967001529"/>
          <c:y val="0.1022964509394572"/>
          <c:w val="0.81615257220617921"/>
          <c:h val="0.6409185803757828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'12.data'!$C$2</c:f>
              <c:strCache>
                <c:ptCount val="1"/>
                <c:pt idx="0">
                  <c:v>出口量Export Production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1"/>
          <c:cat>
            <c:multiLvlStrRef>
              <c:f>'12.data'!$A$3:$B$12</c:f>
              <c:multiLvlStrCache>
                <c:ptCount val="10"/>
                <c:lvl>
                  <c:pt idx="0">
                    <c:v>91</c:v>
                  </c:pt>
                  <c:pt idx="1">
                    <c:v>92</c:v>
                  </c:pt>
                  <c:pt idx="2">
                    <c:v>93</c:v>
                  </c:pt>
                  <c:pt idx="3">
                    <c:v>94</c:v>
                  </c:pt>
                  <c:pt idx="4">
                    <c:v>95</c:v>
                  </c:pt>
                  <c:pt idx="5">
                    <c:v>96</c:v>
                  </c:pt>
                  <c:pt idx="6">
                    <c:v>97</c:v>
                  </c:pt>
                  <c:pt idx="7">
                    <c:v>98</c:v>
                  </c:pt>
                  <c:pt idx="8">
                    <c:v>99</c:v>
                  </c:pt>
                  <c:pt idx="9">
                    <c:v>100</c:v>
                  </c:pt>
                </c:lvl>
                <c:lvl>
                  <c:pt idx="0">
                    <c:v>2002</c:v>
                  </c:pt>
                  <c:pt idx="1">
                    <c:v>2003</c:v>
                  </c:pt>
                  <c:pt idx="2">
                    <c:v>2004</c:v>
                  </c:pt>
                  <c:pt idx="3">
                    <c:v>2005</c:v>
                  </c:pt>
                  <c:pt idx="4">
                    <c:v>2006</c:v>
                  </c:pt>
                  <c:pt idx="5">
                    <c:v>2007</c:v>
                  </c:pt>
                  <c:pt idx="6">
                    <c:v>2008</c:v>
                  </c:pt>
                  <c:pt idx="7">
                    <c:v>2009</c:v>
                  </c:pt>
                  <c:pt idx="8">
                    <c:v>2010</c:v>
                  </c:pt>
                  <c:pt idx="9">
                    <c:v>2011</c:v>
                  </c:pt>
                </c:lvl>
              </c:multiLvlStrCache>
            </c:multiLvlStrRef>
          </c:cat>
          <c:val>
            <c:numRef>
              <c:f>'12.data'!$C$3:$C$12</c:f>
              <c:numCache>
                <c:formatCode>0;_䐀</c:formatCode>
                <c:ptCount val="10"/>
                <c:pt idx="0">
                  <c:v>595.72</c:v>
                </c:pt>
                <c:pt idx="1">
                  <c:v>588.46</c:v>
                </c:pt>
                <c:pt idx="2">
                  <c:v>577.38</c:v>
                </c:pt>
                <c:pt idx="3">
                  <c:v>650.47</c:v>
                </c:pt>
                <c:pt idx="4">
                  <c:v>637.42999999999995</c:v>
                </c:pt>
                <c:pt idx="5">
                  <c:v>673.96</c:v>
                </c:pt>
                <c:pt idx="6">
                  <c:v>675.77</c:v>
                </c:pt>
                <c:pt idx="7">
                  <c:v>577.47</c:v>
                </c:pt>
                <c:pt idx="8">
                  <c:v>613.91</c:v>
                </c:pt>
                <c:pt idx="9">
                  <c:v>610.91</c:v>
                </c:pt>
              </c:numCache>
            </c:numRef>
          </c:val>
          <c:extLst>
            <c:ext xmlns:c14="http://schemas.microsoft.com/office/drawing/2007/8/2/chart" uri="{6F2FDCE9-48DA-4B69-8628-5D25D57E5C99}">
              <c14:invertSolidFillFmt>
                <c14:spPr xmlns:c14="http://schemas.microsoft.com/office/drawing/2007/8/2/chart">
                  <a:solidFill>
                    <a:srgbClr val="339966"/>
                  </a:solidFill>
                  <a:ln w="12700">
                    <a:solidFill>
                      <a:srgbClr val="000000"/>
                    </a:solidFill>
                    <a:prstDash val="solid"/>
                  </a:ln>
                </c14:spPr>
              </c14:invertSolidFillFmt>
            </c:ext>
          </c:extLst>
        </c:ser>
        <c:ser>
          <c:idx val="1"/>
          <c:order val="1"/>
          <c:tx>
            <c:strRef>
              <c:f>'12.data'!$D$2</c:f>
              <c:strCache>
                <c:ptCount val="1"/>
                <c:pt idx="0">
                  <c:v>進口量Import Production</c:v>
                </c:pt>
              </c:strCache>
            </c:strRef>
          </c:tx>
          <c:spPr>
            <a:solidFill>
              <a:srgbClr val="0000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multiLvlStrRef>
              <c:f>'12.data'!$A$3:$B$12</c:f>
              <c:multiLvlStrCache>
                <c:ptCount val="10"/>
                <c:lvl>
                  <c:pt idx="0">
                    <c:v>91</c:v>
                  </c:pt>
                  <c:pt idx="1">
                    <c:v>92</c:v>
                  </c:pt>
                  <c:pt idx="2">
                    <c:v>93</c:v>
                  </c:pt>
                  <c:pt idx="3">
                    <c:v>94</c:v>
                  </c:pt>
                  <c:pt idx="4">
                    <c:v>95</c:v>
                  </c:pt>
                  <c:pt idx="5">
                    <c:v>96</c:v>
                  </c:pt>
                  <c:pt idx="6">
                    <c:v>97</c:v>
                  </c:pt>
                  <c:pt idx="7">
                    <c:v>98</c:v>
                  </c:pt>
                  <c:pt idx="8">
                    <c:v>99</c:v>
                  </c:pt>
                  <c:pt idx="9">
                    <c:v>100</c:v>
                  </c:pt>
                </c:lvl>
                <c:lvl>
                  <c:pt idx="0">
                    <c:v>2002</c:v>
                  </c:pt>
                  <c:pt idx="1">
                    <c:v>2003</c:v>
                  </c:pt>
                  <c:pt idx="2">
                    <c:v>2004</c:v>
                  </c:pt>
                  <c:pt idx="3">
                    <c:v>2005</c:v>
                  </c:pt>
                  <c:pt idx="4">
                    <c:v>2006</c:v>
                  </c:pt>
                  <c:pt idx="5">
                    <c:v>2007</c:v>
                  </c:pt>
                  <c:pt idx="6">
                    <c:v>2008</c:v>
                  </c:pt>
                  <c:pt idx="7">
                    <c:v>2009</c:v>
                  </c:pt>
                  <c:pt idx="8">
                    <c:v>2010</c:v>
                  </c:pt>
                  <c:pt idx="9">
                    <c:v>2011</c:v>
                  </c:pt>
                </c:lvl>
              </c:multiLvlStrCache>
            </c:multiLvlStrRef>
          </c:cat>
          <c:val>
            <c:numRef>
              <c:f>'12.data'!$D$3:$D$12</c:f>
              <c:numCache>
                <c:formatCode>0;_䐀</c:formatCode>
                <c:ptCount val="10"/>
                <c:pt idx="0">
                  <c:v>389.79</c:v>
                </c:pt>
                <c:pt idx="1">
                  <c:v>378.7</c:v>
                </c:pt>
                <c:pt idx="2">
                  <c:v>387.38</c:v>
                </c:pt>
                <c:pt idx="3">
                  <c:v>381.97</c:v>
                </c:pt>
                <c:pt idx="4">
                  <c:v>345.43</c:v>
                </c:pt>
                <c:pt idx="5">
                  <c:v>320.37</c:v>
                </c:pt>
                <c:pt idx="6">
                  <c:v>398.74</c:v>
                </c:pt>
                <c:pt idx="7">
                  <c:v>480.43</c:v>
                </c:pt>
                <c:pt idx="8">
                  <c:v>475.82</c:v>
                </c:pt>
                <c:pt idx="9">
                  <c:v>484.01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cylinder"/>
        <c:axId val="97046528"/>
        <c:axId val="97048064"/>
        <c:axId val="0"/>
      </c:bar3DChart>
      <c:catAx>
        <c:axId val="97046528"/>
        <c:scaling>
          <c:orientation val="minMax"/>
        </c:scaling>
        <c:delete val="0"/>
        <c:axPos val="b"/>
        <c:numFmt formatCode="General" sourceLinked="1"/>
        <c:majorTickMark val="in"/>
        <c:minorTickMark val="none"/>
        <c:tickLblPos val="low"/>
        <c:spPr>
          <a:ln w="9525">
            <a:noFill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zh-TW"/>
          </a:p>
        </c:txPr>
        <c:crossAx val="97048064"/>
        <c:crosses val="autoZero"/>
        <c:auto val="0"/>
        <c:lblAlgn val="ctr"/>
        <c:lblOffset val="100"/>
        <c:tickLblSkip val="1"/>
        <c:tickMarkSkip val="1"/>
        <c:noMultiLvlLbl val="0"/>
      </c:catAx>
      <c:valAx>
        <c:axId val="97048064"/>
        <c:scaling>
          <c:orientation val="minMax"/>
        </c:scaling>
        <c:delete val="0"/>
        <c:axPos val="l"/>
        <c:title>
          <c:tx>
            <c:rich>
              <a:bodyPr rot="0" vert="horz"/>
              <a:lstStyle/>
              <a:p>
                <a:pPr algn="ctr">
                  <a:defRPr sz="12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r>
                  <a:rPr lang="zh-TW" altLang="en-US" sz="850" b="1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</a:rPr>
                  <a:t>千公噸</a:t>
                </a:r>
              </a:p>
              <a:p>
                <a:pPr algn="ctr">
                  <a:defRPr sz="12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r>
                  <a:rPr lang="zh-TW" altLang="en-US" sz="850" b="1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</a:rPr>
                  <a:t>1,0</a:t>
                </a:r>
                <a:r>
                  <a:rPr lang="zh-TW" altLang="en-US" sz="850" b="1" i="0" u="none" strike="noStrike" baseline="0">
                    <a:solidFill>
                      <a:srgbClr val="000000"/>
                    </a:solidFill>
                    <a:latin typeface="Times New Roman"/>
                    <a:ea typeface="新細明體"/>
                    <a:cs typeface="Times New Roman"/>
                  </a:rPr>
                  <a:t>00mt </a:t>
                </a:r>
                <a:endParaRPr lang="zh-TW" altLang="en-US"/>
              </a:p>
            </c:rich>
          </c:tx>
          <c:layout>
            <c:manualLayout>
              <c:xMode val="edge"/>
              <c:yMode val="edge"/>
              <c:x val="0.1134022422454925"/>
              <c:y val="3.1315240083507306E-2"/>
            </c:manualLayout>
          </c:layout>
          <c:overlay val="0"/>
          <c:spPr>
            <a:noFill/>
            <a:ln w="25400">
              <a:noFill/>
            </a:ln>
          </c:spPr>
        </c:title>
        <c:numFmt formatCode="0;_䐀" sourceLinked="1"/>
        <c:majorTickMark val="in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zh-TW"/>
          </a:p>
        </c:txPr>
        <c:crossAx val="97046528"/>
        <c:crosses val="autoZero"/>
        <c:crossBetween val="between"/>
      </c:valAx>
      <c:spPr>
        <a:noFill/>
        <a:ln w="25400">
          <a:noFill/>
        </a:ln>
      </c:spPr>
    </c:plotArea>
    <c:legend>
      <c:legendPos val="t"/>
      <c:layout>
        <c:manualLayout>
          <c:xMode val="edge"/>
          <c:yMode val="edge"/>
          <c:x val="0.35910707037908918"/>
          <c:y val="4.3841336116910233E-2"/>
          <c:w val="0.51890124559172379"/>
          <c:h val="4.5929018789144051E-2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zh-TW"/>
        </a:p>
      </c:txPr>
    </c:legend>
    <c:plotVisOnly val="1"/>
    <c:dispBlanksAs val="gap"/>
    <c:showDLblsOverMax val="0"/>
  </c:chart>
  <c:spPr>
    <a:noFill/>
    <a:ln w="9525">
      <a:noFill/>
    </a:ln>
  </c:spPr>
  <c:txPr>
    <a:bodyPr/>
    <a:lstStyle/>
    <a:p>
      <a:pPr>
        <a:defRPr sz="142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zh-TW"/>
    </a:p>
  </c:txPr>
  <c:externalData r:id="rId1">
    <c:autoUpdate val="0"/>
  </c:externalData>
  <c:userShapes r:id="rId2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200" b="1" i="0" u="none" strike="noStrike" baseline="0">
                <a:solidFill>
                  <a:srgbClr val="000000"/>
                </a:solidFill>
                <a:latin typeface="新細明體"/>
                <a:ea typeface="新細明體"/>
              </a:rPr>
              <a:t>圖１３．</a:t>
            </a:r>
            <a:r>
              <a:rPr lang="zh-TW" altLang="en-US" sz="1200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 </a:t>
            </a:r>
            <a:r>
              <a:rPr lang="zh-TW" altLang="en-US" sz="12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Times New Roman"/>
              </a:rPr>
              <a:t>近十年水產品貿易值</a:t>
            </a:r>
          </a:p>
          <a:p>
            <a:pPr>
              <a:defRPr sz="12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200" b="1" i="0" u="none" strike="noStrike" baseline="0">
                <a:solidFill>
                  <a:srgbClr val="000000"/>
                </a:solidFill>
                <a:latin typeface="Times New Roman"/>
                <a:cs typeface="Times New Roman"/>
              </a:rPr>
              <a:t>Foreign Trade of Fishery Value, 2002-2011</a:t>
            </a:r>
            <a:endParaRPr lang="zh-TW" altLang="en-US"/>
          </a:p>
        </c:rich>
      </c:tx>
      <c:layout>
        <c:manualLayout>
          <c:xMode val="edge"/>
          <c:yMode val="edge"/>
          <c:x val="0.27036413342612936"/>
          <c:y val="0.84459530396538263"/>
        </c:manualLayout>
      </c:layout>
      <c:overlay val="0"/>
      <c:spPr>
        <a:noFill/>
        <a:ln w="25400">
          <a:noFill/>
        </a:ln>
      </c:spPr>
    </c:title>
    <c:autoTitleDeleted val="0"/>
    <c:view3D>
      <c:rotX val="9"/>
      <c:hPercent val="66"/>
      <c:rotY val="17"/>
      <c:depthPercent val="500"/>
      <c:rAngAx val="1"/>
    </c:view3D>
    <c:floor>
      <c:thickness val="0"/>
      <c:spPr>
        <a:noFill/>
        <a:ln w="9525">
          <a:noFill/>
        </a:ln>
      </c:spPr>
    </c:floor>
    <c:sideWall>
      <c:thickness val="0"/>
      <c:spPr>
        <a:gradFill rotWithShape="0">
          <a:gsLst>
            <a:gs pos="0">
              <a:srgbClr val="FFFFFF"/>
            </a:gs>
            <a:gs pos="100000">
              <a:srgbClr val="99CCFF"/>
            </a:gs>
          </a:gsLst>
          <a:lin ang="5400000" scaled="1"/>
        </a:gradFill>
        <a:ln w="25400">
          <a:noFill/>
        </a:ln>
      </c:spPr>
    </c:sideWall>
    <c:backWall>
      <c:thickness val="0"/>
      <c:spPr>
        <a:gradFill rotWithShape="0">
          <a:gsLst>
            <a:gs pos="0">
              <a:srgbClr val="FFFFFF"/>
            </a:gs>
            <a:gs pos="100000">
              <a:srgbClr val="99CCFF"/>
            </a:gs>
          </a:gsLst>
          <a:lin ang="5400000" scaled="1"/>
        </a:gradFill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0.15078002361015322"/>
          <c:y val="0.22297315688110095"/>
          <c:w val="0.80242702220116024"/>
          <c:h val="0.52871665230139842"/>
        </c:manualLayout>
      </c:layout>
      <c:bar3DChart>
        <c:barDir val="col"/>
        <c:grouping val="clustered"/>
        <c:varyColors val="0"/>
        <c:ser>
          <c:idx val="2"/>
          <c:order val="0"/>
          <c:tx>
            <c:strRef>
              <c:f>'13data'!$C$2</c:f>
              <c:strCache>
                <c:ptCount val="1"/>
                <c:pt idx="0">
                  <c:v>出口產值    Export Value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1"/>
          <c:cat>
            <c:multiLvlStrRef>
              <c:f>'13data'!$A$3:$B$12</c:f>
              <c:multiLvlStrCache>
                <c:ptCount val="10"/>
                <c:lvl>
                  <c:pt idx="0">
                    <c:v>91</c:v>
                  </c:pt>
                  <c:pt idx="1">
                    <c:v>92</c:v>
                  </c:pt>
                  <c:pt idx="2">
                    <c:v>93</c:v>
                  </c:pt>
                  <c:pt idx="3">
                    <c:v>94</c:v>
                  </c:pt>
                  <c:pt idx="4">
                    <c:v>95</c:v>
                  </c:pt>
                  <c:pt idx="5">
                    <c:v>96</c:v>
                  </c:pt>
                  <c:pt idx="6">
                    <c:v>97</c:v>
                  </c:pt>
                  <c:pt idx="7">
                    <c:v>98</c:v>
                  </c:pt>
                  <c:pt idx="8">
                    <c:v>99</c:v>
                  </c:pt>
                  <c:pt idx="9">
                    <c:v>100</c:v>
                  </c:pt>
                </c:lvl>
                <c:lvl>
                  <c:pt idx="0">
                    <c:v>2002</c:v>
                  </c:pt>
                  <c:pt idx="1">
                    <c:v>2003</c:v>
                  </c:pt>
                  <c:pt idx="2">
                    <c:v>2004</c:v>
                  </c:pt>
                  <c:pt idx="3">
                    <c:v>2005</c:v>
                  </c:pt>
                  <c:pt idx="4">
                    <c:v>2006</c:v>
                  </c:pt>
                  <c:pt idx="5">
                    <c:v>2007</c:v>
                  </c:pt>
                  <c:pt idx="6">
                    <c:v>2008</c:v>
                  </c:pt>
                  <c:pt idx="7">
                    <c:v>2009</c:v>
                  </c:pt>
                  <c:pt idx="8">
                    <c:v>2010</c:v>
                  </c:pt>
                  <c:pt idx="9">
                    <c:v>2011</c:v>
                  </c:pt>
                </c:lvl>
              </c:multiLvlStrCache>
            </c:multiLvlStrRef>
          </c:cat>
          <c:val>
            <c:numRef>
              <c:f>'13data'!$C$3:$C$12</c:f>
              <c:numCache>
                <c:formatCode>0;_萀</c:formatCode>
                <c:ptCount val="10"/>
                <c:pt idx="0">
                  <c:v>43.15</c:v>
                </c:pt>
                <c:pt idx="1">
                  <c:v>46.09</c:v>
                </c:pt>
                <c:pt idx="2">
                  <c:v>52.1</c:v>
                </c:pt>
                <c:pt idx="3">
                  <c:v>50.5</c:v>
                </c:pt>
                <c:pt idx="4">
                  <c:v>40.619999999999997</c:v>
                </c:pt>
                <c:pt idx="5">
                  <c:v>40.81</c:v>
                </c:pt>
                <c:pt idx="6">
                  <c:v>48.13</c:v>
                </c:pt>
                <c:pt idx="7">
                  <c:v>38.869999999999997</c:v>
                </c:pt>
                <c:pt idx="8">
                  <c:v>49.05</c:v>
                </c:pt>
                <c:pt idx="9">
                  <c:v>54.3</c:v>
                </c:pt>
              </c:numCache>
            </c:numRef>
          </c:val>
          <c:extLst>
            <c:ext xmlns:c14="http://schemas.microsoft.com/office/drawing/2007/8/2/chart" uri="{6F2FDCE9-48DA-4B69-8628-5D25D57E5C99}">
              <c14:invertSolidFillFmt>
                <c14:spPr xmlns:c14="http://schemas.microsoft.com/office/drawing/2007/8/2/chart">
                  <a:solidFill>
                    <a:srgbClr val="FFFFFF"/>
                  </a:solidFill>
                  <a:ln w="12700">
                    <a:solidFill>
                      <a:srgbClr val="000000"/>
                    </a:solidFill>
                    <a:prstDash val="solid"/>
                  </a:ln>
                </c14:spPr>
              </c14:invertSolidFillFmt>
            </c:ext>
          </c:extLst>
        </c:ser>
        <c:ser>
          <c:idx val="3"/>
          <c:order val="1"/>
          <c:tx>
            <c:strRef>
              <c:f>'13data'!$D$2</c:f>
              <c:strCache>
                <c:ptCount val="1"/>
                <c:pt idx="0">
                  <c:v>進口產值 Import Value</c:v>
                </c:pt>
              </c:strCache>
            </c:strRef>
          </c:tx>
          <c:spPr>
            <a:solidFill>
              <a:srgbClr val="0000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multiLvlStrRef>
              <c:f>'13data'!$A$3:$B$12</c:f>
              <c:multiLvlStrCache>
                <c:ptCount val="10"/>
                <c:lvl>
                  <c:pt idx="0">
                    <c:v>91</c:v>
                  </c:pt>
                  <c:pt idx="1">
                    <c:v>92</c:v>
                  </c:pt>
                  <c:pt idx="2">
                    <c:v>93</c:v>
                  </c:pt>
                  <c:pt idx="3">
                    <c:v>94</c:v>
                  </c:pt>
                  <c:pt idx="4">
                    <c:v>95</c:v>
                  </c:pt>
                  <c:pt idx="5">
                    <c:v>96</c:v>
                  </c:pt>
                  <c:pt idx="6">
                    <c:v>97</c:v>
                  </c:pt>
                  <c:pt idx="7">
                    <c:v>98</c:v>
                  </c:pt>
                  <c:pt idx="8">
                    <c:v>99</c:v>
                  </c:pt>
                  <c:pt idx="9">
                    <c:v>100</c:v>
                  </c:pt>
                </c:lvl>
                <c:lvl>
                  <c:pt idx="0">
                    <c:v>2002</c:v>
                  </c:pt>
                  <c:pt idx="1">
                    <c:v>2003</c:v>
                  </c:pt>
                  <c:pt idx="2">
                    <c:v>2004</c:v>
                  </c:pt>
                  <c:pt idx="3">
                    <c:v>2005</c:v>
                  </c:pt>
                  <c:pt idx="4">
                    <c:v>2006</c:v>
                  </c:pt>
                  <c:pt idx="5">
                    <c:v>2007</c:v>
                  </c:pt>
                  <c:pt idx="6">
                    <c:v>2008</c:v>
                  </c:pt>
                  <c:pt idx="7">
                    <c:v>2009</c:v>
                  </c:pt>
                  <c:pt idx="8">
                    <c:v>2010</c:v>
                  </c:pt>
                  <c:pt idx="9">
                    <c:v>2011</c:v>
                  </c:pt>
                </c:lvl>
              </c:multiLvlStrCache>
            </c:multiLvlStrRef>
          </c:cat>
          <c:val>
            <c:numRef>
              <c:f>'13data'!$D$3:$D$12</c:f>
              <c:numCache>
                <c:formatCode>0;_萀</c:formatCode>
                <c:ptCount val="10"/>
                <c:pt idx="0">
                  <c:v>17.399999999999999</c:v>
                </c:pt>
                <c:pt idx="1">
                  <c:v>17.14</c:v>
                </c:pt>
                <c:pt idx="2">
                  <c:v>17.55</c:v>
                </c:pt>
                <c:pt idx="3">
                  <c:v>18.18</c:v>
                </c:pt>
                <c:pt idx="4">
                  <c:v>19.27</c:v>
                </c:pt>
                <c:pt idx="5">
                  <c:v>21.02</c:v>
                </c:pt>
                <c:pt idx="6">
                  <c:v>25.3</c:v>
                </c:pt>
                <c:pt idx="7">
                  <c:v>27.72</c:v>
                </c:pt>
                <c:pt idx="8">
                  <c:v>31.07</c:v>
                </c:pt>
                <c:pt idx="9">
                  <c:v>32.880000000000003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cylinder"/>
        <c:axId val="97086848"/>
        <c:axId val="97145984"/>
        <c:axId val="0"/>
      </c:bar3DChart>
      <c:catAx>
        <c:axId val="97086848"/>
        <c:scaling>
          <c:orientation val="minMax"/>
        </c:scaling>
        <c:delete val="0"/>
        <c:axPos val="b"/>
        <c:numFmt formatCode="General" sourceLinked="1"/>
        <c:majorTickMark val="in"/>
        <c:minorTickMark val="none"/>
        <c:tickLblPos val="low"/>
        <c:spPr>
          <a:ln w="9525">
            <a:noFill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zh-TW"/>
          </a:p>
        </c:txPr>
        <c:crossAx val="97145984"/>
        <c:crosses val="autoZero"/>
        <c:auto val="0"/>
        <c:lblAlgn val="ctr"/>
        <c:lblOffset val="100"/>
        <c:tickLblSkip val="1"/>
        <c:tickMarkSkip val="1"/>
        <c:noMultiLvlLbl val="0"/>
      </c:catAx>
      <c:valAx>
        <c:axId val="97145984"/>
        <c:scaling>
          <c:orientation val="minMax"/>
        </c:scaling>
        <c:delete val="0"/>
        <c:axPos val="l"/>
        <c:title>
          <c:tx>
            <c:rich>
              <a:bodyPr rot="0" vert="horz"/>
              <a:lstStyle/>
              <a:p>
                <a:pPr algn="ctr">
                  <a:defRPr sz="850" b="1" i="0" u="none" strike="noStrike" baseline="0">
                    <a:solidFill>
                      <a:srgbClr val="000000"/>
                    </a:solidFill>
                    <a:latin typeface="細明體"/>
                    <a:ea typeface="細明體"/>
                    <a:cs typeface="細明體"/>
                  </a:defRPr>
                </a:pPr>
                <a:r>
                  <a:rPr lang="zh-TW" altLang="en-US" sz="850" b="1" i="0" u="none" strike="noStrike" baseline="0">
                    <a:solidFill>
                      <a:srgbClr val="000000"/>
                    </a:solidFill>
                    <a:latin typeface="細明體"/>
                    <a:ea typeface="細明體"/>
                  </a:rPr>
                  <a:t>十億元</a:t>
                </a:r>
                <a:r>
                  <a:rPr lang="zh-TW" altLang="en-US" sz="850" b="1" i="0" u="none" strike="noStrike" baseline="0">
                    <a:solidFill>
                      <a:srgbClr val="000000"/>
                    </a:solidFill>
                    <a:latin typeface="Times New Roman"/>
                    <a:ea typeface="細明體"/>
                    <a:cs typeface="Times New Roman"/>
                  </a:rPr>
                  <a:t> </a:t>
                </a:r>
              </a:p>
              <a:p>
                <a:pPr algn="ctr">
                  <a:defRPr sz="850" b="1" i="0" u="none" strike="noStrike" baseline="0">
                    <a:solidFill>
                      <a:srgbClr val="000000"/>
                    </a:solidFill>
                    <a:latin typeface="細明體"/>
                    <a:ea typeface="細明體"/>
                    <a:cs typeface="細明體"/>
                  </a:defRPr>
                </a:pPr>
                <a:r>
                  <a:rPr lang="zh-TW" altLang="en-US" sz="850" b="1" i="0" u="none" strike="noStrike" baseline="0">
                    <a:solidFill>
                      <a:srgbClr val="000000"/>
                    </a:solidFill>
                    <a:latin typeface="Times New Roman"/>
                    <a:ea typeface="細明體"/>
                    <a:cs typeface="Times New Roman"/>
                  </a:rPr>
                  <a:t>Billion NT$</a:t>
                </a:r>
                <a:endParaRPr lang="zh-TW" altLang="en-US"/>
              </a:p>
            </c:rich>
          </c:tx>
          <c:layout>
            <c:manualLayout>
              <c:xMode val="edge"/>
              <c:yMode val="edge"/>
              <c:x val="0.14649153650519334"/>
              <c:y val="0.12639379261265812"/>
            </c:manualLayout>
          </c:layout>
          <c:overlay val="0"/>
          <c:spPr>
            <a:noFill/>
            <a:ln w="25400">
              <a:noFill/>
            </a:ln>
          </c:spPr>
        </c:title>
        <c:numFmt formatCode="0;_萀" sourceLinked="1"/>
        <c:majorTickMark val="in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zh-TW"/>
          </a:p>
        </c:txPr>
        <c:crossAx val="97086848"/>
        <c:crosses val="autoZero"/>
        <c:crossBetween val="between"/>
      </c:valAx>
      <c:spPr>
        <a:noFill/>
        <a:ln w="25400">
          <a:noFill/>
        </a:ln>
      </c:spPr>
    </c:plotArea>
    <c:legend>
      <c:legendPos val="t"/>
      <c:layout>
        <c:manualLayout>
          <c:xMode val="edge"/>
          <c:yMode val="edge"/>
          <c:x val="0.34142150775347185"/>
          <c:y val="0.18750017734269703"/>
          <c:w val="0.49393450602036965"/>
          <c:h val="3.7162162162162171E-2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zh-TW"/>
        </a:p>
      </c:txPr>
    </c:legend>
    <c:plotVisOnly val="1"/>
    <c:dispBlanksAs val="gap"/>
    <c:showDLblsOverMax val="0"/>
  </c:chart>
  <c:spPr>
    <a:noFill/>
    <a:ln w="9525">
      <a:noFill/>
    </a:ln>
  </c:spPr>
  <c:txPr>
    <a:bodyPr/>
    <a:lstStyle/>
    <a:p>
      <a:pPr>
        <a:defRPr sz="142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zh-TW"/>
    </a:p>
  </c:txPr>
  <c:externalData r:id="rId1">
    <c:autoUpdate val="0"/>
  </c:externalData>
  <c:userShapes r:id="rId2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775" b="0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200" b="1" i="0" u="none" strike="noStrike" baseline="0">
                <a:solidFill>
                  <a:srgbClr val="000000"/>
                </a:solidFill>
                <a:latin typeface="新細明體"/>
                <a:ea typeface="新細明體"/>
              </a:rPr>
              <a:t>圖１5．台閩地區魚市場交易量比例</a:t>
            </a:r>
          </a:p>
          <a:p>
            <a:pPr>
              <a:defRPr sz="1775" b="0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200" b="1" i="0" u="none" strike="noStrike" baseline="0">
                <a:solidFill>
                  <a:srgbClr val="000000"/>
                </a:solidFill>
                <a:latin typeface="新細明體"/>
                <a:ea typeface="新細明體"/>
              </a:rPr>
              <a:t>Volume of Fish Transacted by Market in 201</a:t>
            </a:r>
            <a:r>
              <a:rPr lang="en-US" altLang="zh-TW" sz="1200" b="1" i="0" u="none" strike="noStrike" baseline="0">
                <a:solidFill>
                  <a:srgbClr val="000000"/>
                </a:solidFill>
                <a:latin typeface="新細明體"/>
                <a:ea typeface="新細明體"/>
              </a:rPr>
              <a:t>1</a:t>
            </a:r>
            <a:endParaRPr lang="zh-TW" altLang="en-US"/>
          </a:p>
        </c:rich>
      </c:tx>
      <c:layout>
        <c:manualLayout>
          <c:xMode val="edge"/>
          <c:yMode val="edge"/>
          <c:x val="0.27204981985947407"/>
          <c:y val="0.83488469755234085"/>
        </c:manualLayout>
      </c:layout>
      <c:overlay val="0"/>
      <c:spPr>
        <a:noFill/>
        <a:ln w="25400">
          <a:noFill/>
        </a:ln>
      </c:spPr>
    </c:title>
    <c:autoTitleDeleted val="0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670815139032862"/>
          <c:y val="0.16744205060189249"/>
          <c:w val="0.7130439107651827"/>
          <c:h val="0.53023316023932621"/>
        </c:manualLayout>
      </c:layout>
      <c:pie3DChart>
        <c:varyColors val="1"/>
        <c:ser>
          <c:idx val="0"/>
          <c:order val="0"/>
          <c:tx>
            <c:strRef>
              <c:f>'\HOME\01_企劃組\03_資訊科\99年報\99年報電子檔\原始檔_\[99圖3-14.xls]Fig.14&amp;data'!$B$3</c:f>
              <c:strCache>
                <c:ptCount val="1"/>
                <c:pt idx="0">
                  <c:v>交易量(公噸)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8"/>
          <c:dPt>
            <c:idx val="0"/>
            <c:bubble3D val="0"/>
          </c:dPt>
          <c:dPt>
            <c:idx val="1"/>
            <c:bubble3D val="0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6.8742070762108157E-3"/>
                  <c:y val="-0.32519989765770191"/>
                </c:manualLayout>
              </c:layout>
              <c:tx>
                <c:rich>
                  <a:bodyPr/>
                  <a:lstStyle/>
                  <a:p>
                    <a:pPr>
                      <a:defRPr sz="17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zh-TW" altLang="en-US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特等/2處</a:t>
                    </a:r>
                  </a:p>
                  <a:p>
                    <a:pPr>
                      <a:defRPr sz="17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zh-TW" altLang="en-US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Class Superior / 2 areas</a:t>
                    </a:r>
                  </a:p>
                  <a:p>
                    <a:pPr>
                      <a:defRPr sz="17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zh-TW" altLang="en-US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54.3%</a:t>
                    </a:r>
                    <a:endParaRPr lang="zh-TW" altLang="en-US"/>
                  </a:p>
                </c:rich>
              </c:tx>
              <c:spPr>
                <a:noFill/>
                <a:ln w="25400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1698616045940444E-2"/>
                  <c:y val="0.13099391332844768"/>
                </c:manualLayout>
              </c:layout>
              <c:tx>
                <c:rich>
                  <a:bodyPr/>
                  <a:lstStyle/>
                  <a:p>
                    <a:pPr>
                      <a:defRPr sz="17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zh-TW" altLang="en-US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一等/2處</a:t>
                    </a:r>
                  </a:p>
                  <a:p>
                    <a:pPr>
                      <a:defRPr sz="17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zh-TW" altLang="en-US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Class A / 2 areas</a:t>
                    </a:r>
                  </a:p>
                  <a:p>
                    <a:pPr>
                      <a:defRPr sz="17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zh-TW" altLang="en-US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13.6%</a:t>
                    </a:r>
                    <a:endParaRPr lang="zh-TW" altLang="en-US"/>
                  </a:p>
                </c:rich>
              </c:tx>
              <c:spPr>
                <a:noFill/>
                <a:ln w="25400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1180131005028999E-2"/>
                  <c:y val="0.14225298173042436"/>
                </c:manualLayout>
              </c:layout>
              <c:tx>
                <c:rich>
                  <a:bodyPr/>
                  <a:lstStyle/>
                  <a:p>
                    <a:pPr>
                      <a:defRPr sz="17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zh-TW" altLang="en-US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二等/2處</a:t>
                    </a:r>
                  </a:p>
                  <a:p>
                    <a:pPr>
                      <a:defRPr sz="17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zh-TW" altLang="en-US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Class B / 2 areas</a:t>
                    </a:r>
                  </a:p>
                  <a:p>
                    <a:pPr>
                      <a:defRPr sz="17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zh-TW" altLang="en-US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6.9%</a:t>
                    </a:r>
                    <a:endParaRPr lang="zh-TW" altLang="en-US"/>
                  </a:p>
                </c:rich>
              </c:tx>
              <c:spPr>
                <a:noFill/>
                <a:ln w="25400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7.0197743253293671E-2"/>
                  <c:y val="-5.4401397569571276E-2"/>
                </c:manualLayout>
              </c:layout>
              <c:tx>
                <c:rich>
                  <a:bodyPr/>
                  <a:lstStyle/>
                  <a:p>
                    <a:pPr>
                      <a:defRPr sz="17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zh-TW" altLang="en-US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三等/12處</a:t>
                    </a:r>
                  </a:p>
                  <a:p>
                    <a:pPr>
                      <a:defRPr sz="17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zh-TW" altLang="en-US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Class C / 12 areas</a:t>
                    </a:r>
                  </a:p>
                  <a:p>
                    <a:pPr>
                      <a:defRPr sz="17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zh-TW" altLang="en-US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18%</a:t>
                    </a:r>
                    <a:endParaRPr lang="zh-TW" altLang="en-US"/>
                  </a:p>
                </c:rich>
              </c:tx>
              <c:spPr>
                <a:noFill/>
                <a:ln w="25400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4434269287577521E-2"/>
                  <c:y val="-5.2988078932535397E-2"/>
                </c:manualLayout>
              </c:layout>
              <c:tx>
                <c:rich>
                  <a:bodyPr/>
                  <a:lstStyle/>
                  <a:p>
                    <a:pPr>
                      <a:defRPr sz="17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zh-TW" altLang="en-US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四等/7處</a:t>
                    </a:r>
                  </a:p>
                  <a:p>
                    <a:pPr>
                      <a:defRPr sz="17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zh-TW" altLang="en-US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Class D / 7 areas</a:t>
                    </a:r>
                  </a:p>
                  <a:p>
                    <a:pPr>
                      <a:defRPr sz="17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zh-TW" altLang="en-US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4.3%</a:t>
                    </a:r>
                    <a:endParaRPr lang="zh-TW" altLang="en-US"/>
                  </a:p>
                </c:rich>
              </c:tx>
              <c:spPr>
                <a:noFill/>
                <a:ln w="25400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0.26209675620732925"/>
                  <c:y val="-3.1692106676420993E-2"/>
                </c:manualLayout>
              </c:layout>
              <c:tx>
                <c:rich>
                  <a:bodyPr/>
                  <a:lstStyle/>
                  <a:p>
                    <a:pPr>
                      <a:defRPr sz="17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zh-TW" altLang="en-US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五等/24處</a:t>
                    </a:r>
                  </a:p>
                  <a:p>
                    <a:pPr>
                      <a:defRPr sz="17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zh-TW" altLang="en-US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Class E / 24 areas</a:t>
                    </a:r>
                  </a:p>
                  <a:p>
                    <a:pPr>
                      <a:defRPr sz="17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  <a:cs typeface="新細明體"/>
                      </a:defRPr>
                    </a:pPr>
                    <a:r>
                      <a:rPr lang="zh-TW" altLang="en-US" sz="115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2.9%</a:t>
                    </a:r>
                    <a:endParaRPr lang="zh-TW" altLang="en-US"/>
                  </a:p>
                </c:rich>
              </c:tx>
              <c:spPr>
                <a:noFill/>
                <a:ln w="25400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15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endParaRPr lang="zh-TW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</c:dLbls>
          <c:cat>
            <c:strRef>
              <c:f>'\HOME\01_企劃組\03_資訊科\99年報\99年報電子檔\原始檔_\[99圖3-14.xls]Fig.14&amp;data'!$C$2:$H$2</c:f>
              <c:strCache>
                <c:ptCount val="6"/>
                <c:pt idx="0">
                  <c:v>特等/2處
Class Superior / 2 areas</c:v>
                </c:pt>
                <c:pt idx="1">
                  <c:v>一等/3處
Class A / 3 areas</c:v>
                </c:pt>
                <c:pt idx="2">
                  <c:v>二等/4處
Class B / 4 areas</c:v>
                </c:pt>
                <c:pt idx="3">
                  <c:v>三等/10處
Class C / 10 areas</c:v>
                </c:pt>
                <c:pt idx="4">
                  <c:v>四等/5處
Class D / 5 areas</c:v>
                </c:pt>
                <c:pt idx="5">
                  <c:v>五等/24處
Class E / 24 areas</c:v>
                </c:pt>
              </c:strCache>
            </c:strRef>
          </c:cat>
          <c:val>
            <c:numRef>
              <c:f>'\HOME\01_企劃組\03_資訊科\99年報\99年報電子檔\原始檔_\[99圖3-14.xls]Fig.14&amp;data'!$C$3:$H$3</c:f>
              <c:numCache>
                <c:formatCode>General</c:formatCode>
                <c:ptCount val="6"/>
                <c:pt idx="0">
                  <c:v>228419</c:v>
                </c:pt>
                <c:pt idx="1">
                  <c:v>81515</c:v>
                </c:pt>
                <c:pt idx="2">
                  <c:v>41398</c:v>
                </c:pt>
                <c:pt idx="3">
                  <c:v>59246</c:v>
                </c:pt>
                <c:pt idx="4">
                  <c:v>13288</c:v>
                </c:pt>
                <c:pt idx="5">
                  <c:v>16327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plotVisOnly val="1"/>
    <c:dispBlanksAs val="zero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775" b="0" i="0" u="none" strike="noStrike" baseline="0">
          <a:solidFill>
            <a:srgbClr val="000000"/>
          </a:solidFill>
          <a:latin typeface="新細明體"/>
          <a:ea typeface="新細明體"/>
          <a:cs typeface="新細明體"/>
        </a:defRPr>
      </a:pPr>
      <a:endParaRPr lang="zh-TW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25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025" b="1" i="0" u="none" strike="noStrike" baseline="0">
                <a:solidFill>
                  <a:srgbClr val="000000"/>
                </a:solidFill>
                <a:latin typeface="新細明體"/>
                <a:ea typeface="新細明體"/>
              </a:rPr>
              <a:t>圖４．</a:t>
            </a:r>
            <a:r>
              <a:rPr lang="zh-TW" altLang="en-US" sz="1025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 </a:t>
            </a:r>
            <a:r>
              <a:rPr lang="zh-TW" altLang="en-US" sz="1025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Times New Roman"/>
              </a:rPr>
              <a:t>近十年漁船筏數量</a:t>
            </a:r>
            <a:r>
              <a:rPr lang="zh-TW" altLang="en-US" sz="1025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 </a:t>
            </a:r>
          </a:p>
          <a:p>
            <a:pPr>
              <a:defRPr sz="1025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025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Number of Fishing Crafts, Sampans and Rafts, 2002-2011</a:t>
            </a:r>
            <a:endParaRPr lang="zh-TW" altLang="en-US" sz="1200" b="0" i="0" u="none" strike="noStrike" baseline="0">
              <a:solidFill>
                <a:srgbClr val="000000"/>
              </a:solidFill>
              <a:latin typeface="Times New Roman"/>
              <a:ea typeface="新細明體"/>
              <a:cs typeface="Times New Roman"/>
            </a:endParaRPr>
          </a:p>
          <a:p>
            <a:pPr>
              <a:defRPr sz="1025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endParaRPr lang="zh-TW" altLang="en-US"/>
          </a:p>
        </c:rich>
      </c:tx>
      <c:layout>
        <c:manualLayout>
          <c:xMode val="edge"/>
          <c:yMode val="edge"/>
          <c:x val="0.21582367308253134"/>
          <c:y val="0.78031717866252648"/>
        </c:manualLayout>
      </c:layout>
      <c:overlay val="0"/>
      <c:spPr>
        <a:noFill/>
        <a:ln w="25400">
          <a:noFill/>
        </a:ln>
      </c:spPr>
    </c:title>
    <c:autoTitleDeleted val="0"/>
    <c:view3D>
      <c:rotX val="38"/>
      <c:hPercent val="68"/>
      <c:rotY val="44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gradFill rotWithShape="0">
          <a:gsLst>
            <a:gs pos="0">
              <a:srgbClr val="FFFFFF"/>
            </a:gs>
            <a:gs pos="100000">
              <a:srgbClr val="99CCFF"/>
            </a:gs>
          </a:gsLst>
          <a:lin ang="5400000" scaled="1"/>
        </a:gradFill>
        <a:ln w="25400">
          <a:noFill/>
        </a:ln>
      </c:spPr>
    </c:sideWall>
    <c:backWall>
      <c:thickness val="0"/>
      <c:spPr>
        <a:gradFill rotWithShape="0">
          <a:gsLst>
            <a:gs pos="0">
              <a:srgbClr val="FFFFFF"/>
            </a:gs>
            <a:gs pos="100000">
              <a:srgbClr val="99CCFF"/>
            </a:gs>
          </a:gsLst>
          <a:lin ang="5400000" scaled="1"/>
        </a:gradFill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6.7101560221638962E-2"/>
          <c:y val="0.13213286015304426"/>
          <c:w val="0.86576881014873142"/>
          <c:h val="0.57457069978928688"/>
        </c:manualLayout>
      </c:layout>
      <c:area3DChart>
        <c:grouping val="stacked"/>
        <c:varyColors val="0"/>
        <c:ser>
          <c:idx val="0"/>
          <c:order val="0"/>
          <c:tx>
            <c:strRef>
              <c:f>'4data'!$C$2</c:f>
              <c:strCache>
                <c:ptCount val="1"/>
                <c:pt idx="0">
                  <c:v>動力漁船數 POWER FISHING CRAFTS</c:v>
                </c:pt>
              </c:strCache>
            </c:strRef>
          </c:tx>
          <c:spPr>
            <a:solidFill>
              <a:srgbClr val="00FF00"/>
            </a:solidFill>
            <a:ln w="12700">
              <a:solidFill>
                <a:srgbClr val="000000"/>
              </a:solidFill>
              <a:prstDash val="solid"/>
            </a:ln>
          </c:spPr>
          <c:cat>
            <c:multiLvlStrRef>
              <c:f>'4data'!$A$3:$B$12</c:f>
              <c:multiLvlStrCache>
                <c:ptCount val="10"/>
                <c:lvl>
                  <c:pt idx="0">
                    <c:v>91</c:v>
                  </c:pt>
                  <c:pt idx="1">
                    <c:v>92</c:v>
                  </c:pt>
                  <c:pt idx="2">
                    <c:v>93</c:v>
                  </c:pt>
                  <c:pt idx="3">
                    <c:v>94</c:v>
                  </c:pt>
                  <c:pt idx="4">
                    <c:v>95</c:v>
                  </c:pt>
                  <c:pt idx="5">
                    <c:v>96</c:v>
                  </c:pt>
                  <c:pt idx="6">
                    <c:v>97</c:v>
                  </c:pt>
                  <c:pt idx="7">
                    <c:v>98</c:v>
                  </c:pt>
                  <c:pt idx="8">
                    <c:v>99</c:v>
                  </c:pt>
                  <c:pt idx="9">
                    <c:v>100</c:v>
                  </c:pt>
                </c:lvl>
                <c:lvl>
                  <c:pt idx="0">
                    <c:v>2002</c:v>
                  </c:pt>
                  <c:pt idx="1">
                    <c:v>2003</c:v>
                  </c:pt>
                  <c:pt idx="2">
                    <c:v>2004</c:v>
                  </c:pt>
                  <c:pt idx="3">
                    <c:v>2005</c:v>
                  </c:pt>
                  <c:pt idx="4">
                    <c:v>2006</c:v>
                  </c:pt>
                  <c:pt idx="5">
                    <c:v>2007</c:v>
                  </c:pt>
                  <c:pt idx="6">
                    <c:v>2008</c:v>
                  </c:pt>
                  <c:pt idx="7">
                    <c:v>2009</c:v>
                  </c:pt>
                  <c:pt idx="8">
                    <c:v>2010</c:v>
                  </c:pt>
                  <c:pt idx="9">
                    <c:v>2011</c:v>
                  </c:pt>
                </c:lvl>
              </c:multiLvlStrCache>
            </c:multiLvlStrRef>
          </c:cat>
          <c:val>
            <c:numRef>
              <c:f>'4data'!$C$3:$C$12</c:f>
              <c:numCache>
                <c:formatCode>General</c:formatCode>
                <c:ptCount val="10"/>
                <c:pt idx="0">
                  <c:v>13.35</c:v>
                </c:pt>
                <c:pt idx="1">
                  <c:v>13.414</c:v>
                </c:pt>
                <c:pt idx="2">
                  <c:v>13.519</c:v>
                </c:pt>
                <c:pt idx="3">
                  <c:v>13.47</c:v>
                </c:pt>
                <c:pt idx="4">
                  <c:v>13.385</c:v>
                </c:pt>
                <c:pt idx="5">
                  <c:v>13.026</c:v>
                </c:pt>
                <c:pt idx="6">
                  <c:v>12.944000000000001</c:v>
                </c:pt>
                <c:pt idx="7">
                  <c:v>12.7</c:v>
                </c:pt>
                <c:pt idx="8">
                  <c:v>12.779</c:v>
                </c:pt>
                <c:pt idx="9" formatCode="_-* #,##0.000_-;\-* #,##0.000_-;_-* &quot;-&quot;??_-;_-@_-">
                  <c:v>12.276</c:v>
                </c:pt>
              </c:numCache>
            </c:numRef>
          </c:val>
        </c:ser>
        <c:ser>
          <c:idx val="1"/>
          <c:order val="1"/>
          <c:tx>
            <c:strRef>
              <c:f>'4data'!$D$2</c:f>
              <c:strCache>
                <c:ptCount val="1"/>
                <c:pt idx="0">
                  <c:v>無動力舢舨數 NON-POWERED SAMPANS</c:v>
                </c:pt>
              </c:strCache>
            </c:strRef>
          </c:tx>
          <c:spPr>
            <a:solidFill>
              <a:srgbClr val="FFCC00"/>
            </a:solidFill>
            <a:ln w="12700">
              <a:solidFill>
                <a:srgbClr val="000000"/>
              </a:solidFill>
              <a:prstDash val="solid"/>
            </a:ln>
          </c:spPr>
          <c:cat>
            <c:multiLvlStrRef>
              <c:f>'4data'!$A$3:$B$12</c:f>
              <c:multiLvlStrCache>
                <c:ptCount val="10"/>
                <c:lvl>
                  <c:pt idx="0">
                    <c:v>91</c:v>
                  </c:pt>
                  <c:pt idx="1">
                    <c:v>92</c:v>
                  </c:pt>
                  <c:pt idx="2">
                    <c:v>93</c:v>
                  </c:pt>
                  <c:pt idx="3">
                    <c:v>94</c:v>
                  </c:pt>
                  <c:pt idx="4">
                    <c:v>95</c:v>
                  </c:pt>
                  <c:pt idx="5">
                    <c:v>96</c:v>
                  </c:pt>
                  <c:pt idx="6">
                    <c:v>97</c:v>
                  </c:pt>
                  <c:pt idx="7">
                    <c:v>98</c:v>
                  </c:pt>
                  <c:pt idx="8">
                    <c:v>99</c:v>
                  </c:pt>
                  <c:pt idx="9">
                    <c:v>100</c:v>
                  </c:pt>
                </c:lvl>
                <c:lvl>
                  <c:pt idx="0">
                    <c:v>2002</c:v>
                  </c:pt>
                  <c:pt idx="1">
                    <c:v>2003</c:v>
                  </c:pt>
                  <c:pt idx="2">
                    <c:v>2004</c:v>
                  </c:pt>
                  <c:pt idx="3">
                    <c:v>2005</c:v>
                  </c:pt>
                  <c:pt idx="4">
                    <c:v>2006</c:v>
                  </c:pt>
                  <c:pt idx="5">
                    <c:v>2007</c:v>
                  </c:pt>
                  <c:pt idx="6">
                    <c:v>2008</c:v>
                  </c:pt>
                  <c:pt idx="7">
                    <c:v>2009</c:v>
                  </c:pt>
                  <c:pt idx="8">
                    <c:v>2010</c:v>
                  </c:pt>
                  <c:pt idx="9">
                    <c:v>2011</c:v>
                  </c:pt>
                </c:lvl>
              </c:multiLvlStrCache>
            </c:multiLvlStrRef>
          </c:cat>
          <c:val>
            <c:numRef>
              <c:f>'4data'!$D$3:$D$12</c:f>
              <c:numCache>
                <c:formatCode>General</c:formatCode>
                <c:ptCount val="10"/>
                <c:pt idx="0">
                  <c:v>0.36799999999999999</c:v>
                </c:pt>
                <c:pt idx="1">
                  <c:v>0.33200000000000002</c:v>
                </c:pt>
                <c:pt idx="2">
                  <c:v>0.23899999999999999</c:v>
                </c:pt>
                <c:pt idx="3">
                  <c:v>0.219</c:v>
                </c:pt>
                <c:pt idx="4">
                  <c:v>0.21099999999999999</c:v>
                </c:pt>
                <c:pt idx="5">
                  <c:v>0.19800000000000001</c:v>
                </c:pt>
                <c:pt idx="6">
                  <c:v>0.16800000000000001</c:v>
                </c:pt>
                <c:pt idx="7">
                  <c:v>0.159</c:v>
                </c:pt>
                <c:pt idx="8">
                  <c:v>0.156</c:v>
                </c:pt>
                <c:pt idx="9">
                  <c:v>0.17299999999999999</c:v>
                </c:pt>
              </c:numCache>
            </c:numRef>
          </c:val>
        </c:ser>
        <c:ser>
          <c:idx val="2"/>
          <c:order val="2"/>
          <c:tx>
            <c:strRef>
              <c:f>'4data'!$E$2</c:f>
              <c:strCache>
                <c:ptCount val="1"/>
                <c:pt idx="0">
                  <c:v>動力漁筏數 POWERED RAFTS</c:v>
                </c:pt>
              </c:strCache>
            </c:strRef>
          </c:tx>
          <c:spPr>
            <a:solidFill>
              <a:srgbClr val="FF99CC"/>
            </a:solidFill>
            <a:ln w="12700">
              <a:solidFill>
                <a:srgbClr val="000000"/>
              </a:solidFill>
              <a:prstDash val="solid"/>
            </a:ln>
          </c:spPr>
          <c:cat>
            <c:multiLvlStrRef>
              <c:f>'4data'!$A$3:$B$12</c:f>
              <c:multiLvlStrCache>
                <c:ptCount val="10"/>
                <c:lvl>
                  <c:pt idx="0">
                    <c:v>91</c:v>
                  </c:pt>
                  <c:pt idx="1">
                    <c:v>92</c:v>
                  </c:pt>
                  <c:pt idx="2">
                    <c:v>93</c:v>
                  </c:pt>
                  <c:pt idx="3">
                    <c:v>94</c:v>
                  </c:pt>
                  <c:pt idx="4">
                    <c:v>95</c:v>
                  </c:pt>
                  <c:pt idx="5">
                    <c:v>96</c:v>
                  </c:pt>
                  <c:pt idx="6">
                    <c:v>97</c:v>
                  </c:pt>
                  <c:pt idx="7">
                    <c:v>98</c:v>
                  </c:pt>
                  <c:pt idx="8">
                    <c:v>99</c:v>
                  </c:pt>
                  <c:pt idx="9">
                    <c:v>100</c:v>
                  </c:pt>
                </c:lvl>
                <c:lvl>
                  <c:pt idx="0">
                    <c:v>2002</c:v>
                  </c:pt>
                  <c:pt idx="1">
                    <c:v>2003</c:v>
                  </c:pt>
                  <c:pt idx="2">
                    <c:v>2004</c:v>
                  </c:pt>
                  <c:pt idx="3">
                    <c:v>2005</c:v>
                  </c:pt>
                  <c:pt idx="4">
                    <c:v>2006</c:v>
                  </c:pt>
                  <c:pt idx="5">
                    <c:v>2007</c:v>
                  </c:pt>
                  <c:pt idx="6">
                    <c:v>2008</c:v>
                  </c:pt>
                  <c:pt idx="7">
                    <c:v>2009</c:v>
                  </c:pt>
                  <c:pt idx="8">
                    <c:v>2010</c:v>
                  </c:pt>
                  <c:pt idx="9">
                    <c:v>2011</c:v>
                  </c:pt>
                </c:lvl>
              </c:multiLvlStrCache>
            </c:multiLvlStrRef>
          </c:cat>
          <c:val>
            <c:numRef>
              <c:f>'4data'!$E$3:$E$12</c:f>
              <c:numCache>
                <c:formatCode>General</c:formatCode>
                <c:ptCount val="10"/>
                <c:pt idx="0">
                  <c:v>12.465</c:v>
                </c:pt>
                <c:pt idx="1">
                  <c:v>11.904999999999999</c:v>
                </c:pt>
                <c:pt idx="2">
                  <c:v>12.273</c:v>
                </c:pt>
                <c:pt idx="3">
                  <c:v>11.898999999999999</c:v>
                </c:pt>
                <c:pt idx="4">
                  <c:v>11.695</c:v>
                </c:pt>
                <c:pt idx="5">
                  <c:v>11.394</c:v>
                </c:pt>
                <c:pt idx="6">
                  <c:v>10.824999999999999</c:v>
                </c:pt>
                <c:pt idx="7">
                  <c:v>10.672000000000001</c:v>
                </c:pt>
                <c:pt idx="8">
                  <c:v>10.292</c:v>
                </c:pt>
                <c:pt idx="9">
                  <c:v>10.335000000000001</c:v>
                </c:pt>
              </c:numCache>
            </c:numRef>
          </c:val>
        </c:ser>
        <c:ser>
          <c:idx val="3"/>
          <c:order val="3"/>
          <c:tx>
            <c:strRef>
              <c:f>'4data'!$F$2</c:f>
              <c:strCache>
                <c:ptCount val="1"/>
                <c:pt idx="0">
                  <c:v>無動力漁筏數 NON-POWERED RAFTS</c:v>
                </c:pt>
              </c:strCache>
            </c:strRef>
          </c:tx>
          <c:spPr>
            <a:solidFill>
              <a:srgbClr val="CCFFFF"/>
            </a:solidFill>
            <a:ln w="12700">
              <a:solidFill>
                <a:srgbClr val="000000"/>
              </a:solidFill>
              <a:prstDash val="solid"/>
            </a:ln>
          </c:spPr>
          <c:cat>
            <c:multiLvlStrRef>
              <c:f>'4data'!$A$3:$B$12</c:f>
              <c:multiLvlStrCache>
                <c:ptCount val="10"/>
                <c:lvl>
                  <c:pt idx="0">
                    <c:v>91</c:v>
                  </c:pt>
                  <c:pt idx="1">
                    <c:v>92</c:v>
                  </c:pt>
                  <c:pt idx="2">
                    <c:v>93</c:v>
                  </c:pt>
                  <c:pt idx="3">
                    <c:v>94</c:v>
                  </c:pt>
                  <c:pt idx="4">
                    <c:v>95</c:v>
                  </c:pt>
                  <c:pt idx="5">
                    <c:v>96</c:v>
                  </c:pt>
                  <c:pt idx="6">
                    <c:v>97</c:v>
                  </c:pt>
                  <c:pt idx="7">
                    <c:v>98</c:v>
                  </c:pt>
                  <c:pt idx="8">
                    <c:v>99</c:v>
                  </c:pt>
                  <c:pt idx="9">
                    <c:v>100</c:v>
                  </c:pt>
                </c:lvl>
                <c:lvl>
                  <c:pt idx="0">
                    <c:v>2002</c:v>
                  </c:pt>
                  <c:pt idx="1">
                    <c:v>2003</c:v>
                  </c:pt>
                  <c:pt idx="2">
                    <c:v>2004</c:v>
                  </c:pt>
                  <c:pt idx="3">
                    <c:v>2005</c:v>
                  </c:pt>
                  <c:pt idx="4">
                    <c:v>2006</c:v>
                  </c:pt>
                  <c:pt idx="5">
                    <c:v>2007</c:v>
                  </c:pt>
                  <c:pt idx="6">
                    <c:v>2008</c:v>
                  </c:pt>
                  <c:pt idx="7">
                    <c:v>2009</c:v>
                  </c:pt>
                  <c:pt idx="8">
                    <c:v>2010</c:v>
                  </c:pt>
                  <c:pt idx="9">
                    <c:v>2011</c:v>
                  </c:pt>
                </c:lvl>
              </c:multiLvlStrCache>
            </c:multiLvlStrRef>
          </c:cat>
          <c:val>
            <c:numRef>
              <c:f>'4data'!$F$3:$F$12</c:f>
              <c:numCache>
                <c:formatCode>General</c:formatCode>
                <c:ptCount val="10"/>
                <c:pt idx="0">
                  <c:v>0.80800000000000005</c:v>
                </c:pt>
                <c:pt idx="1">
                  <c:v>0.74399999999999999</c:v>
                </c:pt>
                <c:pt idx="2">
                  <c:v>0.71099999999999997</c:v>
                </c:pt>
                <c:pt idx="3">
                  <c:v>0.73099999999999998</c:v>
                </c:pt>
                <c:pt idx="4">
                  <c:v>0.76100000000000001</c:v>
                </c:pt>
                <c:pt idx="5">
                  <c:v>0.72599999999999998</c:v>
                </c:pt>
                <c:pt idx="6">
                  <c:v>0.68</c:v>
                </c:pt>
                <c:pt idx="7">
                  <c:v>0.65700000000000003</c:v>
                </c:pt>
                <c:pt idx="8">
                  <c:v>0.66100000000000003</c:v>
                </c:pt>
                <c:pt idx="9">
                  <c:v>0.53300000000000003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6087680"/>
        <c:axId val="76089600"/>
        <c:axId val="0"/>
      </c:area3DChart>
      <c:catAx>
        <c:axId val="7608768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r>
                  <a:rPr lang="zh-TW" altLang="en-US" sz="800" b="1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</a:rPr>
                  <a:t>年別</a:t>
                </a:r>
              </a:p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endParaRPr lang="zh-TW" altLang="en-US" sz="800" b="1" i="0" u="none" strike="noStrike" baseline="0">
                  <a:solidFill>
                    <a:srgbClr val="000000"/>
                  </a:solidFill>
                  <a:latin typeface="新細明體"/>
                  <a:ea typeface="新細明體"/>
                </a:endParaRPr>
              </a:p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r>
                  <a:rPr lang="zh-TW" altLang="en-US" sz="800" b="1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</a:rPr>
                  <a:t>Year</a:t>
                </a:r>
                <a:endParaRPr lang="zh-TW" altLang="en-US" sz="800"/>
              </a:p>
            </c:rich>
          </c:tx>
          <c:layout>
            <c:manualLayout>
              <c:xMode val="edge"/>
              <c:yMode val="edge"/>
              <c:x val="0.80566127150772815"/>
              <c:y val="0.66116682922187597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in"/>
        <c:minorTickMark val="none"/>
        <c:tickLblPos val="low"/>
        <c:spPr>
          <a:ln w="9525">
            <a:noFill/>
          </a:ln>
        </c:spPr>
        <c:txPr>
          <a:bodyPr rot="0" vert="horz"/>
          <a:lstStyle/>
          <a:p>
            <a:pPr>
              <a:defRPr sz="550" b="0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endParaRPr lang="zh-TW"/>
          </a:p>
        </c:txPr>
        <c:crossAx val="7608960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76089600"/>
        <c:scaling>
          <c:orientation val="minMax"/>
        </c:scaling>
        <c:delete val="0"/>
        <c:axPos val="l"/>
        <c:majorGridlines>
          <c:spPr>
            <a:ln w="3175">
              <a:solidFill>
                <a:srgbClr val="FFFFFF"/>
              </a:solidFill>
              <a:prstDash val="solid"/>
            </a:ln>
          </c:spPr>
        </c:majorGridlines>
        <c:title>
          <c:tx>
            <c:rich>
              <a:bodyPr rot="0" vert="horz"/>
              <a:lstStyle/>
              <a:p>
                <a:pPr algn="ctr">
                  <a:defRPr sz="12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r>
                  <a:rPr lang="zh-TW" altLang="en-US" sz="800" b="1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</a:rPr>
                  <a:t>千艘</a:t>
                </a:r>
              </a:p>
              <a:p>
                <a:pPr algn="ctr">
                  <a:defRPr sz="12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r>
                  <a:rPr lang="zh-TW" altLang="en-US" sz="800" b="1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</a:rPr>
                  <a:t>1000 Boats</a:t>
                </a:r>
                <a:endParaRPr lang="zh-TW" altLang="en-US" sz="800"/>
              </a:p>
            </c:rich>
          </c:tx>
          <c:layout>
            <c:manualLayout>
              <c:xMode val="edge"/>
              <c:yMode val="edge"/>
              <c:x val="0.1265359798775153"/>
              <c:y val="7.8034112805385733E-2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in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50" b="0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endParaRPr lang="zh-TW"/>
          </a:p>
        </c:txPr>
        <c:crossAx val="76087680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22240777194517353"/>
          <c:y val="3.3604088962563887E-2"/>
          <c:w val="0.61752478856809556"/>
          <c:h val="0.19420430998756733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640" b="0" i="0" u="none" strike="noStrike" baseline="0">
              <a:solidFill>
                <a:srgbClr val="000000"/>
              </a:solidFill>
              <a:latin typeface="新細明體"/>
              <a:ea typeface="新細明體"/>
              <a:cs typeface="新細明體"/>
            </a:defRPr>
          </a:pPr>
          <a:endParaRPr lang="zh-TW"/>
        </a:p>
      </c:txPr>
    </c:legend>
    <c:plotVisOnly val="1"/>
    <c:dispBlanksAs val="zero"/>
    <c:showDLblsOverMax val="0"/>
  </c:chart>
  <c:spPr>
    <a:noFill/>
    <a:ln w="9525">
      <a:noFill/>
    </a:ln>
  </c:spPr>
  <c:txPr>
    <a:bodyPr/>
    <a:lstStyle/>
    <a:p>
      <a:pPr>
        <a:defRPr sz="1200" b="0" i="0" u="none" strike="noStrike" baseline="0">
          <a:solidFill>
            <a:srgbClr val="000000"/>
          </a:solidFill>
          <a:latin typeface="新細明體"/>
          <a:ea typeface="新細明體"/>
          <a:cs typeface="新細明體"/>
        </a:defRPr>
      </a:pPr>
      <a:endParaRPr lang="zh-TW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7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700" b="1" i="0" u="none" strike="noStrike" baseline="0">
                <a:solidFill>
                  <a:srgbClr val="000000"/>
                </a:solidFill>
                <a:latin typeface="新細明體"/>
                <a:ea typeface="新細明體"/>
              </a:rPr>
              <a:t>圖５．</a:t>
            </a:r>
            <a:r>
              <a:rPr lang="zh-TW" altLang="en-US" sz="1700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 </a:t>
            </a:r>
            <a:r>
              <a:rPr lang="zh-TW" altLang="en-US" sz="17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Times New Roman"/>
              </a:rPr>
              <a:t>各項水產養殖面積比例</a:t>
            </a:r>
            <a:r>
              <a:rPr lang="zh-TW" altLang="en-US" sz="1700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 </a:t>
            </a:r>
          </a:p>
          <a:p>
            <a:pPr>
              <a:defRPr sz="17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700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Aquaculture Area in 2011</a:t>
            </a:r>
          </a:p>
          <a:p>
            <a:pPr>
              <a:defRPr sz="17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700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  (</a:t>
            </a:r>
            <a:r>
              <a:rPr lang="zh-TW" altLang="en-US" sz="17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Times New Roman"/>
              </a:rPr>
              <a:t>箱網養殖另計</a:t>
            </a:r>
            <a:r>
              <a:rPr lang="zh-TW" altLang="en-US" sz="1700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553,892</a:t>
            </a:r>
            <a:r>
              <a:rPr lang="zh-TW" altLang="en-US" sz="17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Times New Roman"/>
              </a:rPr>
              <a:t>立方公尺</a:t>
            </a:r>
            <a:r>
              <a:rPr lang="zh-TW" altLang="en-US" sz="1700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 )</a:t>
            </a:r>
          </a:p>
          <a:p>
            <a:pPr>
              <a:defRPr sz="17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700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(Cage Culture: 553,892m</a:t>
            </a:r>
            <a:r>
              <a:rPr lang="zh-TW" altLang="en-US" sz="1700" b="1" i="0" u="none" strike="noStrike" baseline="3000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3</a:t>
            </a:r>
            <a:r>
              <a:rPr lang="zh-TW" altLang="en-US" sz="1700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)</a:t>
            </a:r>
            <a:endParaRPr lang="zh-TW" altLang="en-US"/>
          </a:p>
        </c:rich>
      </c:tx>
      <c:layout>
        <c:manualLayout>
          <c:xMode val="edge"/>
          <c:yMode val="edge"/>
          <c:x val="0.28809225949560041"/>
          <c:y val="0.60666068270659868"/>
        </c:manualLayout>
      </c:layout>
      <c:overlay val="0"/>
      <c:spPr>
        <a:noFill/>
        <a:ln w="25400">
          <a:noFill/>
        </a:ln>
      </c:spPr>
    </c:title>
    <c:autoTitleDeleted val="0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5877080665813059"/>
          <c:y val="0.32223222322232226"/>
          <c:w val="0.74903969270166448"/>
          <c:h val="0.20882088208820881"/>
        </c:manualLayout>
      </c:layout>
      <c:pie3DChart>
        <c:varyColors val="1"/>
        <c:ser>
          <c:idx val="1"/>
          <c:order val="0"/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explosion val="13"/>
          <c:dPt>
            <c:idx val="0"/>
            <c:bubble3D val="0"/>
            <c:explosion val="12"/>
            <c:spPr>
              <a:solidFill>
                <a:srgbClr val="00CC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</c:dPt>
          <c:dPt>
            <c:idx val="2"/>
            <c:bubble3D val="0"/>
            <c:spPr>
              <a:solidFill>
                <a:srgbClr val="00FF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explosion val="77"/>
            <c:spPr>
              <a:solidFill>
                <a:srgbClr val="FFFF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explosion val="62"/>
            <c:spPr>
              <a:solidFill>
                <a:srgbClr val="0066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2.4726224202768474E-2"/>
                  <c:y val="-9.557982569910535E-2"/>
                </c:manualLayout>
              </c:layout>
              <c:tx>
                <c:rich>
                  <a:bodyPr/>
                  <a:lstStyle/>
                  <a:p>
                    <a:r>
                      <a:rPr lang="zh-TW" altLang="en-US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海面養殖</a:t>
                    </a:r>
                  </a:p>
                  <a:p>
                    <a:r>
                      <a:rPr lang="zh-TW" altLang="en-US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 MARINE CULTURE   </a:t>
                    </a:r>
                  </a:p>
                  <a:p>
                    <a:r>
                      <a:rPr lang="zh-TW" altLang="en-US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2</a:t>
                    </a:r>
                    <a:r>
                      <a:rPr lang="en-US" altLang="zh-TW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4</a:t>
                    </a:r>
                    <a:r>
                      <a:rPr lang="zh-TW" altLang="en-US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.</a:t>
                    </a:r>
                    <a:r>
                      <a:rPr lang="en-US" altLang="zh-TW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87</a:t>
                    </a:r>
                    <a:r>
                      <a:rPr lang="zh-TW" altLang="en-US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%</a:t>
                    </a:r>
                    <a:endParaRPr lang="zh-TW" altLang="en-US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1634407734884612"/>
                  <c:y val="2.3525565154940663E-2"/>
                </c:manualLayout>
              </c:layout>
              <c:tx>
                <c:rich>
                  <a:bodyPr/>
                  <a:lstStyle/>
                  <a:p>
                    <a:r>
                      <a:rPr lang="zh-TW" altLang="en-US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鹹水養殖 </a:t>
                    </a:r>
                  </a:p>
                  <a:p>
                    <a:r>
                      <a:rPr lang="zh-TW" altLang="en-US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BRACKISH WATER POND   </a:t>
                    </a:r>
                  </a:p>
                  <a:p>
                    <a:r>
                      <a:rPr lang="zh-TW" altLang="en-US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4</a:t>
                    </a:r>
                    <a:r>
                      <a:rPr lang="en-US" altLang="zh-TW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1</a:t>
                    </a:r>
                    <a:r>
                      <a:rPr lang="zh-TW" altLang="en-US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.</a:t>
                    </a:r>
                    <a:r>
                      <a:rPr lang="en-US" altLang="zh-TW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66</a:t>
                    </a:r>
                    <a:r>
                      <a:rPr lang="zh-TW" altLang="en-US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%</a:t>
                    </a:r>
                    <a:endParaRPr lang="zh-TW" altLang="en-US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5564405281606127E-2"/>
                  <c:y val="-8.8366442943506956E-2"/>
                </c:manualLayout>
              </c:layout>
              <c:tx>
                <c:rich>
                  <a:bodyPr/>
                  <a:lstStyle/>
                  <a:p>
                    <a:r>
                      <a:rPr lang="zh-TW" altLang="en-US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淡水養殖 </a:t>
                    </a:r>
                  </a:p>
                  <a:p>
                    <a:r>
                      <a:rPr lang="zh-TW" altLang="en-US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FRESH WATER POND   </a:t>
                    </a:r>
                  </a:p>
                  <a:p>
                    <a:r>
                      <a:rPr lang="zh-TW" altLang="en-US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3</a:t>
                    </a:r>
                    <a:r>
                      <a:rPr lang="en-US" altLang="zh-TW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1</a:t>
                    </a:r>
                    <a:r>
                      <a:rPr lang="zh-TW" altLang="en-US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.</a:t>
                    </a:r>
                    <a:r>
                      <a:rPr lang="en-US" altLang="zh-TW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26</a:t>
                    </a:r>
                    <a:r>
                      <a:rPr lang="zh-TW" altLang="en-US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%</a:t>
                    </a:r>
                    <a:endParaRPr lang="zh-TW" altLang="en-US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9.3821703785106209E-2"/>
                  <c:y val="-7.7525295836670297E-2"/>
                </c:manualLayout>
              </c:layout>
              <c:tx>
                <c:rich>
                  <a:bodyPr/>
                  <a:lstStyle/>
                  <a:p>
                    <a:r>
                      <a:rPr lang="zh-TW" altLang="en-US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觀賞魚養殖</a:t>
                    </a:r>
                  </a:p>
                  <a:p>
                    <a:r>
                      <a:rPr lang="zh-TW" altLang="en-US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ORNAMENTAL FISH CULTURE   0.1</a:t>
                    </a:r>
                    <a:r>
                      <a:rPr lang="en-US" altLang="zh-TW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8</a:t>
                    </a:r>
                    <a:r>
                      <a:rPr lang="zh-TW" altLang="en-US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%</a:t>
                    </a:r>
                    <a:endParaRPr lang="zh-TW" altLang="en-US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.15731940677709791"/>
                  <c:y val="-0.1090517870684706"/>
                </c:manualLayout>
              </c:layout>
              <c:tx>
                <c:rich>
                  <a:bodyPr/>
                  <a:lstStyle/>
                  <a:p>
                    <a:r>
                      <a:rPr lang="zh-TW" altLang="en-US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其他魚塭 OTHERS   </a:t>
                    </a:r>
                    <a:r>
                      <a:rPr lang="en-US" altLang="zh-TW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2</a:t>
                    </a:r>
                    <a:r>
                      <a:rPr lang="zh-TW" altLang="en-US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.</a:t>
                    </a:r>
                    <a:r>
                      <a:rPr lang="en-US" altLang="zh-TW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04</a:t>
                    </a:r>
                    <a:r>
                      <a:rPr lang="zh-TW" altLang="en-US" sz="975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%</a:t>
                    </a:r>
                    <a:endParaRPr lang="zh-TW" altLang="en-US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75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endParaRPr lang="zh-TW"/>
              </a:p>
            </c:txPr>
            <c:showLegendKey val="0"/>
            <c:showVal val="0"/>
            <c:showCatName val="1"/>
            <c:showSerName val="0"/>
            <c:showPercent val="0"/>
            <c:showBubbleSize val="0"/>
            <c:showLeaderLines val="1"/>
          </c:dLbls>
          <c:cat>
            <c:strRef>
              <c:f>'5data'!$A$4:$A$8</c:f>
              <c:strCache>
                <c:ptCount val="5"/>
                <c:pt idx="0">
                  <c:v>海面養殖 MARINE CULTURE   24.87%</c:v>
                </c:pt>
                <c:pt idx="1">
                  <c:v>鹹水養殖 BRACKISH WATER POND   41.66%</c:v>
                </c:pt>
                <c:pt idx="2">
                  <c:v>淡水養殖 FRESH WATER POND   31.26%</c:v>
                </c:pt>
                <c:pt idx="3">
                  <c:v>觀賞魚養殖 ORNAMENTAL FISH CULTURE   0.18%</c:v>
                </c:pt>
                <c:pt idx="4">
                  <c:v>其他魚塭 OTHERS   2.04%</c:v>
                </c:pt>
              </c:strCache>
            </c:strRef>
          </c:cat>
          <c:val>
            <c:numRef>
              <c:f>'5data'!$C$4:$C$8</c:f>
              <c:numCache>
                <c:formatCode>0.00_ </c:formatCode>
                <c:ptCount val="5"/>
                <c:pt idx="0">
                  <c:v>24.867128601384692</c:v>
                </c:pt>
                <c:pt idx="1">
                  <c:v>41.65624456101682</c:v>
                </c:pt>
                <c:pt idx="2">
                  <c:v>31.262471930899626</c:v>
                </c:pt>
                <c:pt idx="3">
                  <c:v>0.17540343440036008</c:v>
                </c:pt>
                <c:pt idx="4">
                  <c:v>2.0387514722984981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plotVisOnly val="1"/>
    <c:dispBlanksAs val="zero"/>
    <c:showDLblsOverMax val="0"/>
  </c:chart>
  <c:spPr>
    <a:gradFill rotWithShape="0">
      <a:gsLst>
        <a:gs pos="0">
          <a:srgbClr val="FFFFFF"/>
        </a:gs>
        <a:gs pos="50000">
          <a:srgbClr val="99CCFF"/>
        </a:gs>
        <a:gs pos="100000">
          <a:srgbClr val="FFFFFF"/>
        </a:gs>
      </a:gsLst>
      <a:lin ang="5400000" scaled="1"/>
    </a:gradFill>
    <a:ln w="9525">
      <a:noFill/>
    </a:ln>
  </c:spPr>
  <c:txPr>
    <a:bodyPr/>
    <a:lstStyle/>
    <a:p>
      <a:pPr>
        <a:defRPr sz="975" b="0" i="0" u="none" strike="noStrike" baseline="0">
          <a:solidFill>
            <a:srgbClr val="000000"/>
          </a:solidFill>
          <a:latin typeface="新細明體"/>
          <a:ea typeface="新細明體"/>
          <a:cs typeface="新細明體"/>
        </a:defRPr>
      </a:pPr>
      <a:endParaRPr lang="zh-TW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400" b="1" i="0" u="none" strike="noStrike" baseline="0">
                <a:solidFill>
                  <a:srgbClr val="000000"/>
                </a:solidFill>
                <a:latin typeface="新細明體"/>
                <a:ea typeface="新細明體"/>
              </a:rPr>
              <a:t>圖６．台閩地區漁產量比例</a:t>
            </a:r>
            <a:r>
              <a:rPr lang="zh-TW" altLang="en-US" sz="1400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 </a:t>
            </a:r>
          </a:p>
          <a:p>
            <a:pPr>
              <a:defRPr sz="14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400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Fisheries Production by Region in 2011</a:t>
            </a:r>
            <a:endParaRPr lang="zh-TW" altLang="en-US"/>
          </a:p>
        </c:rich>
      </c:tx>
      <c:layout>
        <c:manualLayout>
          <c:xMode val="edge"/>
          <c:yMode val="edge"/>
          <c:x val="0.19689155435881395"/>
          <c:y val="0.71345172496712761"/>
        </c:manualLayout>
      </c:layout>
      <c:overlay val="0"/>
      <c:spPr>
        <a:noFill/>
        <a:ln w="25400">
          <a:noFill/>
        </a:ln>
      </c:spPr>
    </c:title>
    <c:autoTitleDeleted val="0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036271177864546"/>
          <c:y val="0.20272943075625677"/>
          <c:w val="0.76338643436021558"/>
          <c:h val="0.34308057512597301"/>
        </c:manualLayout>
      </c:layout>
      <c:pie3DChart>
        <c:varyColors val="1"/>
        <c:ser>
          <c:idx val="1"/>
          <c:order val="0"/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explosion val="8"/>
          <c:dPt>
            <c:idx val="0"/>
            <c:bubble3D val="0"/>
            <c:spPr>
              <a:solidFill>
                <a:srgbClr val="CC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00CC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00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FFCC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0.23013868676779328"/>
                  <c:y val="1.8605900826619351E-3"/>
                </c:manualLayout>
              </c:layout>
              <c:tx>
                <c:rich>
                  <a:bodyPr/>
                  <a:lstStyle/>
                  <a:p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其他</a:t>
                    </a:r>
                  </a:p>
                  <a:p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Others</a:t>
                    </a:r>
                  </a:p>
                  <a:p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 43.41%</a:t>
                    </a:r>
                    <a:endParaRPr lang="zh-TW" altLang="en-US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7.0850905411040555E-2"/>
                  <c:y val="6.3020450618936449E-2"/>
                </c:manualLayout>
              </c:layout>
              <c:tx>
                <c:rich>
                  <a:bodyPr/>
                  <a:lstStyle/>
                  <a:p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高雄市</a:t>
                    </a:r>
                  </a:p>
                  <a:p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Kaohsiung City</a:t>
                    </a:r>
                  </a:p>
                  <a:p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 22.69%</a:t>
                    </a:r>
                    <a:endParaRPr lang="zh-TW" altLang="en-US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3.9723728484807611E-2"/>
                  <c:y val="0.12096989868286095"/>
                </c:manualLayout>
              </c:layout>
              <c:tx>
                <c:rich>
                  <a:bodyPr/>
                  <a:lstStyle/>
                  <a:p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金馬地區</a:t>
                    </a:r>
                  </a:p>
                  <a:p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Kinmen &amp; Matsu Area </a:t>
                    </a:r>
                  </a:p>
                  <a:p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0.10%</a:t>
                    </a:r>
                    <a:endParaRPr lang="zh-TW" altLang="en-US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.25144963630507816"/>
                  <c:y val="1.3576303305709473E-2"/>
                </c:manualLayout>
              </c:layout>
              <c:tx>
                <c:rich>
                  <a:bodyPr/>
                  <a:lstStyle/>
                  <a:p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國外補給港</a:t>
                    </a:r>
                  </a:p>
                  <a:p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Oversea Landing</a:t>
                    </a:r>
                  </a:p>
                  <a:p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 33.</a:t>
                    </a:r>
                    <a:r>
                      <a:rPr lang="en-US" altLang="zh-TW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79</a:t>
                    </a:r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%</a:t>
                    </a:r>
                    <a:endParaRPr lang="zh-TW" altLang="en-US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endParaRPr lang="zh-TW"/>
              </a:p>
            </c:txPr>
            <c:showLegendKey val="0"/>
            <c:showVal val="0"/>
            <c:showCatName val="1"/>
            <c:showSerName val="0"/>
            <c:showPercent val="0"/>
            <c:showBubbleSize val="0"/>
            <c:showLeaderLines val="1"/>
          </c:dLbls>
          <c:cat>
            <c:strRef>
              <c:f>'6.7data'!$A$4:$A$7</c:f>
              <c:strCache>
                <c:ptCount val="4"/>
                <c:pt idx="0">
                  <c:v>其他 Others 43.41%</c:v>
                </c:pt>
                <c:pt idx="1">
                  <c:v>高雄市Kaohsiung City 22.69%</c:v>
                </c:pt>
                <c:pt idx="2">
                  <c:v>金馬地區Kinmen &amp; Matsu Area 0.10%</c:v>
                </c:pt>
                <c:pt idx="3">
                  <c:v>國外補給港Oversea Landing 33.79%</c:v>
                </c:pt>
              </c:strCache>
            </c:strRef>
          </c:cat>
          <c:val>
            <c:numRef>
              <c:f>'6.7data'!$B$4:$B$7</c:f>
              <c:numCache>
                <c:formatCode>#,##0</c:formatCode>
                <c:ptCount val="4"/>
                <c:pt idx="0">
                  <c:v>530813.4905999999</c:v>
                </c:pt>
                <c:pt idx="1">
                  <c:v>277419.07400000002</c:v>
                </c:pt>
                <c:pt idx="2">
                  <c:v>1227.8673999999999</c:v>
                </c:pt>
                <c:pt idx="3">
                  <c:v>413194.17</c:v>
                </c:pt>
              </c:numCache>
            </c:numRef>
          </c:val>
        </c:ser>
        <c:ser>
          <c:idx val="0"/>
          <c:order val="1"/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cat>
            <c:strRef>
              <c:f>'6.7data'!$A$4:$A$7</c:f>
              <c:strCache>
                <c:ptCount val="4"/>
                <c:pt idx="0">
                  <c:v>其他 Others 43.41%</c:v>
                </c:pt>
                <c:pt idx="1">
                  <c:v>高雄市Kaohsiung City 22.69%</c:v>
                </c:pt>
                <c:pt idx="2">
                  <c:v>金馬地區Kinmen &amp; Matsu Area 0.10%</c:v>
                </c:pt>
                <c:pt idx="3">
                  <c:v>國外補給港Oversea Landing 33.79%</c:v>
                </c:pt>
              </c:strCache>
            </c:strRef>
          </c:cat>
          <c:val>
            <c:numRef>
              <c:f>'6.7data'!$C$4:$C$7</c:f>
              <c:numCache>
                <c:formatCode>0.00_ </c:formatCode>
                <c:ptCount val="4"/>
                <c:pt idx="0">
                  <c:v>43.414836024148045</c:v>
                </c:pt>
                <c:pt idx="1">
                  <c:v>22.68989733864348</c:v>
                </c:pt>
                <c:pt idx="2">
                  <c:v>0.10042635082642905</c:v>
                </c:pt>
                <c:pt idx="3">
                  <c:v>33.794840286382041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plotVisOnly val="1"/>
    <c:dispBlanksAs val="zero"/>
    <c:showDLblsOverMax val="0"/>
  </c:chart>
  <c:spPr>
    <a:noFill/>
    <a:ln w="9525"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新細明體"/>
          <a:ea typeface="新細明體"/>
          <a:cs typeface="新細明體"/>
        </a:defRPr>
      </a:pPr>
      <a:endParaRPr lang="zh-TW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400" b="1" i="0" u="none" strike="noStrike" baseline="0">
                <a:solidFill>
                  <a:srgbClr val="000000"/>
                </a:solidFill>
                <a:latin typeface="新細明體"/>
                <a:ea typeface="新細明體"/>
              </a:rPr>
              <a:t>圖７．台閩地區漁產值比例</a:t>
            </a:r>
            <a:r>
              <a:rPr lang="zh-TW" altLang="en-US" sz="1400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 </a:t>
            </a:r>
          </a:p>
          <a:p>
            <a:pPr>
              <a:defRPr sz="14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400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Fisheries Value by Region in 2011</a:t>
            </a:r>
            <a:endParaRPr lang="zh-TW" altLang="en-US"/>
          </a:p>
        </c:rich>
      </c:tx>
      <c:layout>
        <c:manualLayout>
          <c:xMode val="edge"/>
          <c:yMode val="edge"/>
          <c:x val="0.23275880170151145"/>
          <c:y val="0.7140082946021199"/>
        </c:manualLayout>
      </c:layout>
      <c:overlay val="0"/>
      <c:spPr>
        <a:noFill/>
        <a:ln w="25400">
          <a:noFill/>
        </a:ln>
      </c:spPr>
    </c:title>
    <c:autoTitleDeleted val="0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0172422356901903"/>
          <c:y val="0.20038929542088649"/>
          <c:w val="0.76896616460648282"/>
          <c:h val="0.34435830378152338"/>
        </c:manualLayout>
      </c:layout>
      <c:pie3DChart>
        <c:varyColors val="1"/>
        <c:ser>
          <c:idx val="1"/>
          <c:order val="0"/>
          <c:tx>
            <c:strRef>
              <c:f>'6.7data'!$F$10</c:f>
              <c:strCache>
                <c:ptCount val="1"/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explosion val="8"/>
          <c:dPt>
            <c:idx val="0"/>
            <c:bubble3D val="0"/>
            <c:spPr>
              <a:solidFill>
                <a:srgbClr val="CC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00CC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00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FFCC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0.25575873895175361"/>
                  <c:y val="-0.12573623606100331"/>
                </c:manualLayout>
              </c:layout>
              <c:tx>
                <c:rich>
                  <a:bodyPr/>
                  <a:lstStyle/>
                  <a:p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其他</a:t>
                    </a:r>
                  </a:p>
                  <a:p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Others </a:t>
                    </a:r>
                  </a:p>
                  <a:p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55.</a:t>
                    </a:r>
                    <a:r>
                      <a:rPr lang="en-US" altLang="zh-TW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47</a:t>
                    </a:r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% </a:t>
                    </a:r>
                    <a:endParaRPr lang="zh-TW" altLang="en-US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1763334910324113"/>
                  <c:y val="9.2543398366779286E-2"/>
                </c:manualLayout>
              </c:layout>
              <c:tx>
                <c:rich>
                  <a:bodyPr/>
                  <a:lstStyle/>
                  <a:p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高雄市</a:t>
                    </a:r>
                  </a:p>
                  <a:p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Kaohsiung City</a:t>
                    </a:r>
                  </a:p>
                  <a:p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10.</a:t>
                    </a:r>
                    <a:r>
                      <a:rPr lang="en-US" altLang="zh-TW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87</a:t>
                    </a:r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%</a:t>
                    </a:r>
                  </a:p>
                  <a:p>
                    <a:endParaRPr lang="zh-TW" altLang="en-US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8.6206969126287353E-3"/>
                  <c:y val="9.7994924705499226E-2"/>
                </c:manualLayout>
              </c:layout>
              <c:tx>
                <c:rich>
                  <a:bodyPr/>
                  <a:lstStyle/>
                  <a:p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金馬地區</a:t>
                    </a:r>
                  </a:p>
                  <a:p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Kinmen &amp; Matsu Area </a:t>
                    </a:r>
                  </a:p>
                  <a:p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0.22%</a:t>
                    </a:r>
                  </a:p>
                  <a:p>
                    <a:endParaRPr lang="zh-TW" altLang="en-US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.22474216935616337"/>
                  <c:y val="1.0573258128687868E-2"/>
                </c:manualLayout>
              </c:layout>
              <c:tx>
                <c:rich>
                  <a:bodyPr/>
                  <a:lstStyle/>
                  <a:p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國外補給港</a:t>
                    </a:r>
                  </a:p>
                  <a:p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Oversea Landing</a:t>
                    </a:r>
                  </a:p>
                  <a:p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 33.</a:t>
                    </a:r>
                    <a:r>
                      <a:rPr lang="en-US" altLang="zh-TW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4</a:t>
                    </a:r>
                    <a:r>
                      <a:rPr lang="zh-TW" altLang="en-US" sz="800" b="0" i="0" u="none" strike="noStrike" baseline="0">
                        <a:solidFill>
                          <a:srgbClr val="000000"/>
                        </a:solidFill>
                        <a:latin typeface="新細明體"/>
                        <a:ea typeface="新細明體"/>
                      </a:rPr>
                      <a:t>5% </a:t>
                    </a:r>
                    <a:endParaRPr lang="zh-TW" altLang="en-US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endParaRPr lang="zh-TW"/>
              </a:p>
            </c:txPr>
            <c:showLegendKey val="0"/>
            <c:showVal val="0"/>
            <c:showCatName val="1"/>
            <c:showSerName val="0"/>
            <c:showPercent val="0"/>
            <c:showBubbleSize val="0"/>
            <c:showLeaderLines val="1"/>
          </c:dLbls>
          <c:cat>
            <c:strRef>
              <c:f>'6.7data'!$F$4:$F$7</c:f>
              <c:strCache>
                <c:ptCount val="4"/>
                <c:pt idx="0">
                  <c:v>其他 Others 55.47%</c:v>
                </c:pt>
                <c:pt idx="1">
                  <c:v>高雄市Kaohsiung City 10.87%</c:v>
                </c:pt>
                <c:pt idx="2">
                  <c:v>金馬地區Kinmen &amp; Matsu Area 0.22%</c:v>
                </c:pt>
                <c:pt idx="3">
                  <c:v>國外補給港Oversea Landing 33.45%</c:v>
                </c:pt>
              </c:strCache>
            </c:strRef>
          </c:cat>
          <c:val>
            <c:numRef>
              <c:f>'6.7data'!$E$4:$E$7</c:f>
              <c:numCache>
                <c:formatCode>0.00_ </c:formatCode>
                <c:ptCount val="4"/>
                <c:pt idx="0">
                  <c:v>55.466806017480131</c:v>
                </c:pt>
                <c:pt idx="1">
                  <c:v>10.866734915470708</c:v>
                </c:pt>
                <c:pt idx="2">
                  <c:v>0.21797434684791814</c:v>
                </c:pt>
                <c:pt idx="3">
                  <c:v>33.448484720201257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plotVisOnly val="1"/>
    <c:dispBlanksAs val="zero"/>
    <c:showDLblsOverMax val="0"/>
  </c:chart>
  <c:spPr>
    <a:noFill/>
    <a:ln w="9525"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新細明體"/>
          <a:ea typeface="新細明體"/>
          <a:cs typeface="新細明體"/>
        </a:defRPr>
      </a:pPr>
      <a:endParaRPr lang="zh-TW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500" b="0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175" b="1" i="0" u="none" strike="noStrike" baseline="0">
                <a:solidFill>
                  <a:srgbClr val="000000"/>
                </a:solidFill>
                <a:latin typeface="新細明體"/>
                <a:ea typeface="新細明體"/>
              </a:rPr>
              <a:t>圖８． 近十年各項漁業生產量</a:t>
            </a:r>
          </a:p>
          <a:p>
            <a:pPr>
              <a:defRPr sz="500" b="0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175" b="1" i="0" u="none" strike="noStrike" baseline="0">
                <a:solidFill>
                  <a:srgbClr val="000000"/>
                </a:solidFill>
                <a:latin typeface="新細明體"/>
                <a:ea typeface="新細明體"/>
              </a:rPr>
              <a:t> Fisheries Production, 2002-2011</a:t>
            </a:r>
            <a:endParaRPr lang="zh-TW" altLang="en-US"/>
          </a:p>
        </c:rich>
      </c:tx>
      <c:layout>
        <c:manualLayout>
          <c:xMode val="edge"/>
          <c:yMode val="edge"/>
          <c:x val="0.29268223930242609"/>
          <c:y val="0.82127083473540163"/>
        </c:manualLayout>
      </c:layout>
      <c:overlay val="0"/>
      <c:spPr>
        <a:noFill/>
        <a:ln w="25400">
          <a:noFill/>
        </a:ln>
      </c:spPr>
    </c:title>
    <c:autoTitleDeleted val="0"/>
    <c:view3D>
      <c:rotX val="31"/>
      <c:hPercent val="72"/>
      <c:rotY val="44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gradFill rotWithShape="0">
          <a:gsLst>
            <a:gs pos="0">
              <a:srgbClr val="FFFFFF"/>
            </a:gs>
            <a:gs pos="100000">
              <a:srgbClr val="99CCFF"/>
            </a:gs>
          </a:gsLst>
          <a:lin ang="5400000" scaled="1"/>
        </a:gradFill>
        <a:ln w="25400">
          <a:noFill/>
        </a:ln>
      </c:spPr>
    </c:sideWall>
    <c:backWall>
      <c:thickness val="0"/>
      <c:spPr>
        <a:gradFill rotWithShape="0">
          <a:gsLst>
            <a:gs pos="0">
              <a:srgbClr val="FFFFFF"/>
            </a:gs>
            <a:gs pos="100000">
              <a:srgbClr val="99CCFF"/>
            </a:gs>
          </a:gsLst>
          <a:lin ang="5400000" scaled="1"/>
        </a:gradFill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0.13069918513368009"/>
          <c:y val="0.11218568665377177"/>
          <c:w val="0.77333189258263946"/>
          <c:h val="0.59023711779617294"/>
        </c:manualLayout>
      </c:layout>
      <c:area3DChart>
        <c:grouping val="stacked"/>
        <c:varyColors val="0"/>
        <c:ser>
          <c:idx val="1"/>
          <c:order val="0"/>
          <c:tx>
            <c:strRef>
              <c:f>'8data'!$A$4</c:f>
              <c:strCache>
                <c:ptCount val="1"/>
                <c:pt idx="0">
                  <c:v>遠洋漁業FAR SEA FISHERIES</c:v>
                </c:pt>
              </c:strCache>
            </c:strRef>
          </c:tx>
          <c:spPr>
            <a:solidFill>
              <a:srgbClr val="0000FF"/>
            </a:solidFill>
            <a:ln w="12700">
              <a:solidFill>
                <a:srgbClr val="000000"/>
              </a:solidFill>
              <a:prstDash val="solid"/>
            </a:ln>
          </c:spPr>
          <c:cat>
            <c:multiLvlStrRef>
              <c:f>'8data'!$C$1:$L$2</c:f>
              <c:multiLvlStrCache>
                <c:ptCount val="10"/>
                <c:lvl>
                  <c:pt idx="0">
                    <c:v>91</c:v>
                  </c:pt>
                  <c:pt idx="1">
                    <c:v>92</c:v>
                  </c:pt>
                  <c:pt idx="2">
                    <c:v>93</c:v>
                  </c:pt>
                  <c:pt idx="3">
                    <c:v>94</c:v>
                  </c:pt>
                  <c:pt idx="4">
                    <c:v>95</c:v>
                  </c:pt>
                  <c:pt idx="5">
                    <c:v>96</c:v>
                  </c:pt>
                  <c:pt idx="6">
                    <c:v>97</c:v>
                  </c:pt>
                  <c:pt idx="7">
                    <c:v>98</c:v>
                  </c:pt>
                  <c:pt idx="8">
                    <c:v>99</c:v>
                  </c:pt>
                  <c:pt idx="9">
                    <c:v>100</c:v>
                  </c:pt>
                </c:lvl>
                <c:lvl>
                  <c:pt idx="0">
                    <c:v>2002</c:v>
                  </c:pt>
                  <c:pt idx="1">
                    <c:v>2003</c:v>
                  </c:pt>
                  <c:pt idx="2">
                    <c:v>2004</c:v>
                  </c:pt>
                  <c:pt idx="3">
                    <c:v>2005</c:v>
                  </c:pt>
                  <c:pt idx="4">
                    <c:v>2006</c:v>
                  </c:pt>
                  <c:pt idx="5">
                    <c:v>2007</c:v>
                  </c:pt>
                  <c:pt idx="6">
                    <c:v>2008</c:v>
                  </c:pt>
                  <c:pt idx="7">
                    <c:v>2009</c:v>
                  </c:pt>
                  <c:pt idx="8">
                    <c:v>2010</c:v>
                  </c:pt>
                  <c:pt idx="9">
                    <c:v>2011</c:v>
                  </c:pt>
                </c:lvl>
              </c:multiLvlStrCache>
            </c:multiLvlStrRef>
          </c:cat>
          <c:val>
            <c:numRef>
              <c:f>'8data'!$C$4:$L$4</c:f>
              <c:numCache>
                <c:formatCode>General</c:formatCode>
                <c:ptCount val="10"/>
                <c:pt idx="0">
                  <c:v>0.82353399999999999</c:v>
                </c:pt>
                <c:pt idx="1">
                  <c:v>0.87766299999999997</c:v>
                </c:pt>
                <c:pt idx="2">
                  <c:v>0.70681799999999995</c:v>
                </c:pt>
                <c:pt idx="3">
                  <c:v>0.75211799999999995</c:v>
                </c:pt>
                <c:pt idx="4">
                  <c:v>0.75789600000000001</c:v>
                </c:pt>
                <c:pt idx="5">
                  <c:v>0.98451</c:v>
                </c:pt>
                <c:pt idx="6">
                  <c:v>0.82842743845</c:v>
                </c:pt>
                <c:pt idx="7">
                  <c:v>0.61944253439999997</c:v>
                </c:pt>
                <c:pt idx="8">
                  <c:v>0.68828783036000007</c:v>
                </c:pt>
                <c:pt idx="9">
                  <c:v>0.70213325500000001</c:v>
                </c:pt>
              </c:numCache>
            </c:numRef>
          </c:val>
        </c:ser>
        <c:ser>
          <c:idx val="2"/>
          <c:order val="1"/>
          <c:tx>
            <c:strRef>
              <c:f>'8data'!$A$5</c:f>
              <c:strCache>
                <c:ptCount val="1"/>
                <c:pt idx="0">
                  <c:v>近海漁業OFFSHORE FISHERIES</c:v>
                </c:pt>
              </c:strCache>
            </c:strRef>
          </c:tx>
          <c:spPr>
            <a:solidFill>
              <a:srgbClr val="339966"/>
            </a:solidFill>
            <a:ln w="12700">
              <a:solidFill>
                <a:srgbClr val="000000"/>
              </a:solidFill>
              <a:prstDash val="solid"/>
            </a:ln>
          </c:spPr>
          <c:cat>
            <c:multiLvlStrRef>
              <c:f>'8data'!$C$1:$L$2</c:f>
              <c:multiLvlStrCache>
                <c:ptCount val="10"/>
                <c:lvl>
                  <c:pt idx="0">
                    <c:v>91</c:v>
                  </c:pt>
                  <c:pt idx="1">
                    <c:v>92</c:v>
                  </c:pt>
                  <c:pt idx="2">
                    <c:v>93</c:v>
                  </c:pt>
                  <c:pt idx="3">
                    <c:v>94</c:v>
                  </c:pt>
                  <c:pt idx="4">
                    <c:v>95</c:v>
                  </c:pt>
                  <c:pt idx="5">
                    <c:v>96</c:v>
                  </c:pt>
                  <c:pt idx="6">
                    <c:v>97</c:v>
                  </c:pt>
                  <c:pt idx="7">
                    <c:v>98</c:v>
                  </c:pt>
                  <c:pt idx="8">
                    <c:v>99</c:v>
                  </c:pt>
                  <c:pt idx="9">
                    <c:v>100</c:v>
                  </c:pt>
                </c:lvl>
                <c:lvl>
                  <c:pt idx="0">
                    <c:v>2002</c:v>
                  </c:pt>
                  <c:pt idx="1">
                    <c:v>2003</c:v>
                  </c:pt>
                  <c:pt idx="2">
                    <c:v>2004</c:v>
                  </c:pt>
                  <c:pt idx="3">
                    <c:v>2005</c:v>
                  </c:pt>
                  <c:pt idx="4">
                    <c:v>2006</c:v>
                  </c:pt>
                  <c:pt idx="5">
                    <c:v>2007</c:v>
                  </c:pt>
                  <c:pt idx="6">
                    <c:v>2008</c:v>
                  </c:pt>
                  <c:pt idx="7">
                    <c:v>2009</c:v>
                  </c:pt>
                  <c:pt idx="8">
                    <c:v>2010</c:v>
                  </c:pt>
                  <c:pt idx="9">
                    <c:v>2011</c:v>
                  </c:pt>
                </c:lvl>
              </c:multiLvlStrCache>
            </c:multiLvlStrRef>
          </c:cat>
          <c:val>
            <c:numRef>
              <c:f>'8data'!$C$5:$L$5</c:f>
              <c:numCache>
                <c:formatCode>General</c:formatCode>
                <c:ptCount val="10"/>
                <c:pt idx="0">
                  <c:v>0.18593899999999999</c:v>
                </c:pt>
                <c:pt idx="1">
                  <c:v>0.19348199999999999</c:v>
                </c:pt>
                <c:pt idx="2">
                  <c:v>0.19772200000000001</c:v>
                </c:pt>
                <c:pt idx="3">
                  <c:v>0.20166899999999999</c:v>
                </c:pt>
                <c:pt idx="4">
                  <c:v>0.15487500000000001</c:v>
                </c:pt>
                <c:pt idx="5">
                  <c:v>0.13544</c:v>
                </c:pt>
                <c:pt idx="6">
                  <c:v>0.13334285662000001</c:v>
                </c:pt>
                <c:pt idx="7">
                  <c:v>0.15195604114</c:v>
                </c:pt>
                <c:pt idx="8">
                  <c:v>0.12828877371999994</c:v>
                </c:pt>
                <c:pt idx="9">
                  <c:v>0.163579</c:v>
                </c:pt>
              </c:numCache>
            </c:numRef>
          </c:val>
        </c:ser>
        <c:ser>
          <c:idx val="3"/>
          <c:order val="2"/>
          <c:tx>
            <c:strRef>
              <c:f>'8data'!$A$6</c:f>
              <c:strCache>
                <c:ptCount val="1"/>
                <c:pt idx="0">
                  <c:v>沿岸漁業COASTAL FISHERIES</c:v>
                </c:pt>
              </c:strCache>
            </c:strRef>
          </c:tx>
          <c:spPr>
            <a:solidFill>
              <a:srgbClr val="FFFF00"/>
            </a:solidFill>
            <a:ln w="12700">
              <a:solidFill>
                <a:srgbClr val="000000"/>
              </a:solidFill>
              <a:prstDash val="solid"/>
            </a:ln>
          </c:spPr>
          <c:cat>
            <c:multiLvlStrRef>
              <c:f>'8data'!$C$1:$L$2</c:f>
              <c:multiLvlStrCache>
                <c:ptCount val="10"/>
                <c:lvl>
                  <c:pt idx="0">
                    <c:v>91</c:v>
                  </c:pt>
                  <c:pt idx="1">
                    <c:v>92</c:v>
                  </c:pt>
                  <c:pt idx="2">
                    <c:v>93</c:v>
                  </c:pt>
                  <c:pt idx="3">
                    <c:v>94</c:v>
                  </c:pt>
                  <c:pt idx="4">
                    <c:v>95</c:v>
                  </c:pt>
                  <c:pt idx="5">
                    <c:v>96</c:v>
                  </c:pt>
                  <c:pt idx="6">
                    <c:v>97</c:v>
                  </c:pt>
                  <c:pt idx="7">
                    <c:v>98</c:v>
                  </c:pt>
                  <c:pt idx="8">
                    <c:v>99</c:v>
                  </c:pt>
                  <c:pt idx="9">
                    <c:v>100</c:v>
                  </c:pt>
                </c:lvl>
                <c:lvl>
                  <c:pt idx="0">
                    <c:v>2002</c:v>
                  </c:pt>
                  <c:pt idx="1">
                    <c:v>2003</c:v>
                  </c:pt>
                  <c:pt idx="2">
                    <c:v>2004</c:v>
                  </c:pt>
                  <c:pt idx="3">
                    <c:v>2005</c:v>
                  </c:pt>
                  <c:pt idx="4">
                    <c:v>2006</c:v>
                  </c:pt>
                  <c:pt idx="5">
                    <c:v>2007</c:v>
                  </c:pt>
                  <c:pt idx="6">
                    <c:v>2008</c:v>
                  </c:pt>
                  <c:pt idx="7">
                    <c:v>2009</c:v>
                  </c:pt>
                  <c:pt idx="8">
                    <c:v>2010</c:v>
                  </c:pt>
                  <c:pt idx="9">
                    <c:v>2011</c:v>
                  </c:pt>
                </c:lvl>
              </c:multiLvlStrCache>
            </c:multiLvlStrRef>
          </c:cat>
          <c:val>
            <c:numRef>
              <c:f>'8data'!$C$6:$L$6</c:f>
              <c:numCache>
                <c:formatCode>General</c:formatCode>
                <c:ptCount val="10"/>
                <c:pt idx="0">
                  <c:v>4.9668999999999998E-2</c:v>
                </c:pt>
                <c:pt idx="1">
                  <c:v>6.3739000000000004E-2</c:v>
                </c:pt>
                <c:pt idx="2">
                  <c:v>5.629E-2</c:v>
                </c:pt>
                <c:pt idx="3">
                  <c:v>5.2956000000000003E-2</c:v>
                </c:pt>
                <c:pt idx="4">
                  <c:v>5.4382E-2</c:v>
                </c:pt>
                <c:pt idx="5">
                  <c:v>5.4280000000000002E-2</c:v>
                </c:pt>
                <c:pt idx="6">
                  <c:v>4.761461426E-2</c:v>
                </c:pt>
                <c:pt idx="7">
                  <c:v>4.6043953939999986E-2</c:v>
                </c:pt>
                <c:pt idx="8">
                  <c:v>3.4730664930000002E-2</c:v>
                </c:pt>
                <c:pt idx="9">
                  <c:v>2.8116611829999999E-2</c:v>
                </c:pt>
              </c:numCache>
            </c:numRef>
          </c:val>
        </c:ser>
        <c:ser>
          <c:idx val="4"/>
          <c:order val="3"/>
          <c:tx>
            <c:strRef>
              <c:f>'8data'!$A$7</c:f>
              <c:strCache>
                <c:ptCount val="1"/>
                <c:pt idx="0">
                  <c:v>海面養殖MARINE CULTURE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cat>
            <c:multiLvlStrRef>
              <c:f>'8data'!$C$1:$L$2</c:f>
              <c:multiLvlStrCache>
                <c:ptCount val="10"/>
                <c:lvl>
                  <c:pt idx="0">
                    <c:v>91</c:v>
                  </c:pt>
                  <c:pt idx="1">
                    <c:v>92</c:v>
                  </c:pt>
                  <c:pt idx="2">
                    <c:v>93</c:v>
                  </c:pt>
                  <c:pt idx="3">
                    <c:v>94</c:v>
                  </c:pt>
                  <c:pt idx="4">
                    <c:v>95</c:v>
                  </c:pt>
                  <c:pt idx="5">
                    <c:v>96</c:v>
                  </c:pt>
                  <c:pt idx="6">
                    <c:v>97</c:v>
                  </c:pt>
                  <c:pt idx="7">
                    <c:v>98</c:v>
                  </c:pt>
                  <c:pt idx="8">
                    <c:v>99</c:v>
                  </c:pt>
                  <c:pt idx="9">
                    <c:v>100</c:v>
                  </c:pt>
                </c:lvl>
                <c:lvl>
                  <c:pt idx="0">
                    <c:v>2002</c:v>
                  </c:pt>
                  <c:pt idx="1">
                    <c:v>2003</c:v>
                  </c:pt>
                  <c:pt idx="2">
                    <c:v>2004</c:v>
                  </c:pt>
                  <c:pt idx="3">
                    <c:v>2005</c:v>
                  </c:pt>
                  <c:pt idx="4">
                    <c:v>2006</c:v>
                  </c:pt>
                  <c:pt idx="5">
                    <c:v>2007</c:v>
                  </c:pt>
                  <c:pt idx="6">
                    <c:v>2008</c:v>
                  </c:pt>
                  <c:pt idx="7">
                    <c:v>2009</c:v>
                  </c:pt>
                  <c:pt idx="8">
                    <c:v>2010</c:v>
                  </c:pt>
                  <c:pt idx="9">
                    <c:v>2011</c:v>
                  </c:pt>
                </c:lvl>
              </c:multiLvlStrCache>
            </c:multiLvlStrRef>
          </c:cat>
          <c:val>
            <c:numRef>
              <c:f>'8data'!$C$7:$L$7</c:f>
              <c:numCache>
                <c:formatCode>General</c:formatCode>
                <c:ptCount val="10"/>
                <c:pt idx="0">
                  <c:v>2.9037E-2</c:v>
                </c:pt>
                <c:pt idx="1">
                  <c:v>3.4701000000000003E-2</c:v>
                </c:pt>
                <c:pt idx="2">
                  <c:v>3.7387999999999998E-2</c:v>
                </c:pt>
                <c:pt idx="3">
                  <c:v>3.4922000000000002E-2</c:v>
                </c:pt>
                <c:pt idx="4">
                  <c:v>3.4570999999999998E-2</c:v>
                </c:pt>
                <c:pt idx="5">
                  <c:v>3.5071999999999999E-2</c:v>
                </c:pt>
                <c:pt idx="6">
                  <c:v>3.7915969100000002E-2</c:v>
                </c:pt>
                <c:pt idx="7">
                  <c:v>2.6252755000000003E-2</c:v>
                </c:pt>
                <c:pt idx="8">
                  <c:v>4.1409660969999998E-2</c:v>
                </c:pt>
                <c:pt idx="9">
                  <c:v>3.8097563799999998E-2</c:v>
                </c:pt>
              </c:numCache>
            </c:numRef>
          </c:val>
        </c:ser>
        <c:ser>
          <c:idx val="5"/>
          <c:order val="4"/>
          <c:tx>
            <c:strRef>
              <c:f>'8data'!$A$8</c:f>
              <c:strCache>
                <c:ptCount val="1"/>
                <c:pt idx="0">
                  <c:v>內陸漁撈INLAND FISHING</c:v>
                </c:pt>
              </c:strCache>
            </c:strRef>
          </c:tx>
          <c:spPr>
            <a:solidFill>
              <a:srgbClr val="800000"/>
            </a:solidFill>
            <a:ln w="12700">
              <a:solidFill>
                <a:srgbClr val="000000"/>
              </a:solidFill>
              <a:prstDash val="solid"/>
            </a:ln>
          </c:spPr>
          <c:cat>
            <c:multiLvlStrRef>
              <c:f>'8data'!$C$1:$L$2</c:f>
              <c:multiLvlStrCache>
                <c:ptCount val="10"/>
                <c:lvl>
                  <c:pt idx="0">
                    <c:v>91</c:v>
                  </c:pt>
                  <c:pt idx="1">
                    <c:v>92</c:v>
                  </c:pt>
                  <c:pt idx="2">
                    <c:v>93</c:v>
                  </c:pt>
                  <c:pt idx="3">
                    <c:v>94</c:v>
                  </c:pt>
                  <c:pt idx="4">
                    <c:v>95</c:v>
                  </c:pt>
                  <c:pt idx="5">
                    <c:v>96</c:v>
                  </c:pt>
                  <c:pt idx="6">
                    <c:v>97</c:v>
                  </c:pt>
                  <c:pt idx="7">
                    <c:v>98</c:v>
                  </c:pt>
                  <c:pt idx="8">
                    <c:v>99</c:v>
                  </c:pt>
                  <c:pt idx="9">
                    <c:v>100</c:v>
                  </c:pt>
                </c:lvl>
                <c:lvl>
                  <c:pt idx="0">
                    <c:v>2002</c:v>
                  </c:pt>
                  <c:pt idx="1">
                    <c:v>2003</c:v>
                  </c:pt>
                  <c:pt idx="2">
                    <c:v>2004</c:v>
                  </c:pt>
                  <c:pt idx="3">
                    <c:v>2005</c:v>
                  </c:pt>
                  <c:pt idx="4">
                    <c:v>2006</c:v>
                  </c:pt>
                  <c:pt idx="5">
                    <c:v>2007</c:v>
                  </c:pt>
                  <c:pt idx="6">
                    <c:v>2008</c:v>
                  </c:pt>
                  <c:pt idx="7">
                    <c:v>2009</c:v>
                  </c:pt>
                  <c:pt idx="8">
                    <c:v>2010</c:v>
                  </c:pt>
                  <c:pt idx="9">
                    <c:v>2011</c:v>
                  </c:pt>
                </c:lvl>
              </c:multiLvlStrCache>
            </c:multiLvlStrRef>
          </c:cat>
          <c:val>
            <c:numRef>
              <c:f>'8data'!$C$8:$L$8</c:f>
              <c:numCache>
                <c:formatCode>General</c:formatCode>
                <c:ptCount val="10"/>
                <c:pt idx="0">
                  <c:v>6.0800000000000003E-4</c:v>
                </c:pt>
                <c:pt idx="1">
                  <c:v>4.75E-4</c:v>
                </c:pt>
                <c:pt idx="2">
                  <c:v>2.5500000000000002E-4</c:v>
                </c:pt>
                <c:pt idx="3">
                  <c:v>2.0699999999999999E-4</c:v>
                </c:pt>
                <c:pt idx="4">
                  <c:v>1.55E-4</c:v>
                </c:pt>
                <c:pt idx="5">
                  <c:v>2.41E-4</c:v>
                </c:pt>
                <c:pt idx="6">
                  <c:v>2.0271000000000002E-4</c:v>
                </c:pt>
                <c:pt idx="7">
                  <c:v>1.3219999999999999E-4</c:v>
                </c:pt>
                <c:pt idx="8">
                  <c:v>7.6790000000000002E-5</c:v>
                </c:pt>
                <c:pt idx="9">
                  <c:v>6.8894999999999997E-5</c:v>
                </c:pt>
              </c:numCache>
            </c:numRef>
          </c:val>
        </c:ser>
        <c:ser>
          <c:idx val="6"/>
          <c:order val="5"/>
          <c:tx>
            <c:strRef>
              <c:f>'8data'!$A$9</c:f>
              <c:strCache>
                <c:ptCount val="1"/>
                <c:pt idx="0">
                  <c:v>內陸養殖INLAND CULTURE</c:v>
                </c:pt>
              </c:strCache>
            </c:strRef>
          </c:tx>
          <c:spPr>
            <a:solidFill>
              <a:srgbClr val="FF9900"/>
            </a:solidFill>
            <a:ln w="12700">
              <a:solidFill>
                <a:srgbClr val="000000"/>
              </a:solidFill>
              <a:prstDash val="solid"/>
            </a:ln>
          </c:spPr>
          <c:cat>
            <c:multiLvlStrRef>
              <c:f>'8data'!$C$1:$L$2</c:f>
              <c:multiLvlStrCache>
                <c:ptCount val="10"/>
                <c:lvl>
                  <c:pt idx="0">
                    <c:v>91</c:v>
                  </c:pt>
                  <c:pt idx="1">
                    <c:v>92</c:v>
                  </c:pt>
                  <c:pt idx="2">
                    <c:v>93</c:v>
                  </c:pt>
                  <c:pt idx="3">
                    <c:v>94</c:v>
                  </c:pt>
                  <c:pt idx="4">
                    <c:v>95</c:v>
                  </c:pt>
                  <c:pt idx="5">
                    <c:v>96</c:v>
                  </c:pt>
                  <c:pt idx="6">
                    <c:v>97</c:v>
                  </c:pt>
                  <c:pt idx="7">
                    <c:v>98</c:v>
                  </c:pt>
                  <c:pt idx="8">
                    <c:v>99</c:v>
                  </c:pt>
                  <c:pt idx="9">
                    <c:v>100</c:v>
                  </c:pt>
                </c:lvl>
                <c:lvl>
                  <c:pt idx="0">
                    <c:v>2002</c:v>
                  </c:pt>
                  <c:pt idx="1">
                    <c:v>2003</c:v>
                  </c:pt>
                  <c:pt idx="2">
                    <c:v>2004</c:v>
                  </c:pt>
                  <c:pt idx="3">
                    <c:v>2005</c:v>
                  </c:pt>
                  <c:pt idx="4">
                    <c:v>2006</c:v>
                  </c:pt>
                  <c:pt idx="5">
                    <c:v>2007</c:v>
                  </c:pt>
                  <c:pt idx="6">
                    <c:v>2008</c:v>
                  </c:pt>
                  <c:pt idx="7">
                    <c:v>2009</c:v>
                  </c:pt>
                  <c:pt idx="8">
                    <c:v>2010</c:v>
                  </c:pt>
                  <c:pt idx="9">
                    <c:v>2011</c:v>
                  </c:pt>
                </c:lvl>
              </c:multiLvlStrCache>
            </c:multiLvlStrRef>
          </c:cat>
          <c:val>
            <c:numRef>
              <c:f>'8data'!$C$9:$L$9</c:f>
              <c:numCache>
                <c:formatCode>General</c:formatCode>
                <c:ptCount val="10"/>
                <c:pt idx="0">
                  <c:v>0.31795400000000001</c:v>
                </c:pt>
                <c:pt idx="1">
                  <c:v>0.33036799999999999</c:v>
                </c:pt>
                <c:pt idx="2">
                  <c:v>0.28901199999999999</c:v>
                </c:pt>
                <c:pt idx="3">
                  <c:v>0.27235199999999998</c:v>
                </c:pt>
                <c:pt idx="4">
                  <c:v>0.26414900000000002</c:v>
                </c:pt>
                <c:pt idx="5">
                  <c:v>0.28998000000000002</c:v>
                </c:pt>
                <c:pt idx="6">
                  <c:v>0.29305713699999997</c:v>
                </c:pt>
                <c:pt idx="7">
                  <c:v>0.25503544500000003</c:v>
                </c:pt>
                <c:pt idx="8">
                  <c:v>0.27428602699999999</c:v>
                </c:pt>
                <c:pt idx="9">
                  <c:v>0.29065999999999997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6636160"/>
        <c:axId val="76638080"/>
        <c:axId val="0"/>
      </c:area3DChart>
      <c:catAx>
        <c:axId val="7663616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r>
                  <a:rPr lang="zh-TW" altLang="en-US" sz="800" b="1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</a:rPr>
                  <a:t>年別</a:t>
                </a:r>
              </a:p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endParaRPr lang="zh-TW" altLang="en-US" sz="800" b="1" i="0" u="none" strike="noStrike" baseline="0">
                  <a:solidFill>
                    <a:srgbClr val="000000"/>
                  </a:solidFill>
                  <a:latin typeface="新細明體"/>
                  <a:ea typeface="新細明體"/>
                </a:endParaRPr>
              </a:p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r>
                  <a:rPr lang="zh-TW" altLang="en-US" sz="800" b="1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</a:rPr>
                  <a:t>Year</a:t>
                </a:r>
                <a:endParaRPr lang="zh-TW" altLang="en-US"/>
              </a:p>
            </c:rich>
          </c:tx>
          <c:layout>
            <c:manualLayout>
              <c:xMode val="edge"/>
              <c:yMode val="edge"/>
              <c:x val="0.85841655234623115"/>
              <c:y val="0.68952195078179335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in"/>
        <c:minorTickMark val="none"/>
        <c:tickLblPos val="low"/>
        <c:spPr>
          <a:ln w="9525">
            <a:noFill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zh-TW"/>
          </a:p>
        </c:txPr>
        <c:crossAx val="7663808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76638080"/>
        <c:scaling>
          <c:orientation val="minMax"/>
        </c:scaling>
        <c:delete val="0"/>
        <c:axPos val="l"/>
        <c:majorGridlines>
          <c:spPr>
            <a:ln w="3175">
              <a:solidFill>
                <a:srgbClr val="FFFFFF"/>
              </a:solidFill>
              <a:prstDash val="solid"/>
            </a:ln>
          </c:spPr>
        </c:majorGridlines>
        <c:title>
          <c:tx>
            <c:rich>
              <a:bodyPr rot="0" vert="horz"/>
              <a:lstStyle/>
              <a:p>
                <a:pPr algn="ctr">
                  <a:defRPr sz="12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r>
                  <a:rPr lang="zh-TW" altLang="en-US" sz="800" b="1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</a:rPr>
                  <a:t>百萬公噸</a:t>
                </a:r>
              </a:p>
              <a:p>
                <a:pPr algn="ctr">
                  <a:defRPr sz="12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r>
                  <a:rPr lang="zh-TW" altLang="en-US" sz="800" b="1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</a:rPr>
                  <a:t>Million mt</a:t>
                </a:r>
                <a:endParaRPr lang="zh-TW" altLang="en-US"/>
              </a:p>
            </c:rich>
          </c:tx>
          <c:layout>
            <c:manualLayout>
              <c:xMode val="edge"/>
              <c:yMode val="edge"/>
              <c:x val="0.14492889881302151"/>
              <c:y val="4.3793295009902901E-2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in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zh-TW"/>
          </a:p>
        </c:txPr>
        <c:crossAx val="76636160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31003056970819826"/>
          <c:y val="5.9961315280464215E-2"/>
          <c:w val="0.54559317585301836"/>
          <c:h val="5.8027079303675046E-2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新細明體"/>
              <a:ea typeface="新細明體"/>
              <a:cs typeface="新細明體"/>
            </a:defRPr>
          </a:pPr>
          <a:endParaRPr lang="zh-TW"/>
        </a:p>
      </c:txPr>
    </c:legend>
    <c:plotVisOnly val="1"/>
    <c:dispBlanksAs val="zero"/>
    <c:showDLblsOverMax val="0"/>
  </c:chart>
  <c:spPr>
    <a:noFill/>
    <a:ln w="9525">
      <a:noFill/>
    </a:ln>
  </c:spPr>
  <c:txPr>
    <a:bodyPr/>
    <a:lstStyle/>
    <a:p>
      <a:pPr>
        <a:defRPr sz="500" b="0" i="0" u="none" strike="noStrike" baseline="0">
          <a:solidFill>
            <a:srgbClr val="000000"/>
          </a:solidFill>
          <a:latin typeface="新細明體"/>
          <a:ea typeface="新細明體"/>
          <a:cs typeface="新細明體"/>
        </a:defRPr>
      </a:pPr>
      <a:endParaRPr lang="zh-TW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175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zh-TW" altLang="en-US" sz="1175" b="1" i="0" u="none" strike="noStrike" baseline="0">
                <a:solidFill>
                  <a:srgbClr val="000000"/>
                </a:solidFill>
                <a:latin typeface="Times New Roman"/>
                <a:cs typeface="Times New Roman"/>
              </a:rPr>
              <a:t> </a:t>
            </a:r>
            <a:r>
              <a:rPr lang="zh-TW" altLang="en-US" sz="1175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Times New Roman"/>
              </a:rPr>
              <a:t>圖９．</a:t>
            </a:r>
            <a:r>
              <a:rPr lang="zh-TW" altLang="en-US" sz="1175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 </a:t>
            </a:r>
            <a:r>
              <a:rPr lang="zh-TW" altLang="en-US" sz="1175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Times New Roman"/>
              </a:rPr>
              <a:t>近十年各項漁業生產值</a:t>
            </a:r>
          </a:p>
          <a:p>
            <a:pPr>
              <a:defRPr sz="1175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zh-TW" altLang="en-US" sz="1175" b="1" i="0" u="none" strike="noStrike" baseline="0">
                <a:solidFill>
                  <a:srgbClr val="000000"/>
                </a:solidFill>
                <a:latin typeface="Times New Roman"/>
                <a:cs typeface="Times New Roman"/>
              </a:rPr>
              <a:t> Fisheries Value, 2002-2011</a:t>
            </a:r>
          </a:p>
          <a:p>
            <a:pPr>
              <a:defRPr sz="1175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zh-TW" altLang="en-US"/>
          </a:p>
        </c:rich>
      </c:tx>
      <c:layout>
        <c:manualLayout>
          <c:xMode val="edge"/>
          <c:yMode val="edge"/>
          <c:x val="0.29297754447360752"/>
          <c:y val="0.80458861120620795"/>
        </c:manualLayout>
      </c:layout>
      <c:overlay val="0"/>
      <c:spPr>
        <a:noFill/>
        <a:ln w="25400">
          <a:noFill/>
        </a:ln>
      </c:spPr>
    </c:title>
    <c:autoTitleDeleted val="0"/>
    <c:view3D>
      <c:rotX val="34"/>
      <c:hPercent val="73"/>
      <c:rotY val="44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gradFill rotWithShape="0">
          <a:gsLst>
            <a:gs pos="0">
              <a:srgbClr val="FFFFFF"/>
            </a:gs>
            <a:gs pos="100000">
              <a:srgbClr val="99CCFF"/>
            </a:gs>
          </a:gsLst>
          <a:lin ang="5400000" scaled="1"/>
        </a:gradFill>
        <a:ln w="25400">
          <a:noFill/>
        </a:ln>
      </c:spPr>
    </c:sideWall>
    <c:backWall>
      <c:thickness val="0"/>
      <c:spPr>
        <a:gradFill rotWithShape="0">
          <a:gsLst>
            <a:gs pos="0">
              <a:srgbClr val="FFFFFF"/>
            </a:gs>
            <a:gs pos="100000">
              <a:srgbClr val="99CCFF"/>
            </a:gs>
          </a:gsLst>
          <a:lin ang="5400000" scaled="1"/>
        </a:gradFill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0.1337127529010386"/>
          <c:y val="9.7178683385579931E-2"/>
          <c:w val="0.74364537766112571"/>
          <c:h val="0.59683350450758876"/>
        </c:manualLayout>
      </c:layout>
      <c:area3DChart>
        <c:grouping val="stacked"/>
        <c:varyColors val="0"/>
        <c:ser>
          <c:idx val="0"/>
          <c:order val="0"/>
          <c:tx>
            <c:strRef>
              <c:f>'9data'!$A$4</c:f>
              <c:strCache>
                <c:ptCount val="1"/>
                <c:pt idx="0">
                  <c:v>遠洋漁業FAR SEA FISHERIES</c:v>
                </c:pt>
              </c:strCache>
            </c:strRef>
          </c:tx>
          <c:spPr>
            <a:solidFill>
              <a:srgbClr val="0000FF"/>
            </a:solidFill>
            <a:ln w="12700">
              <a:solidFill>
                <a:srgbClr val="000000"/>
              </a:solidFill>
              <a:prstDash val="solid"/>
            </a:ln>
          </c:spPr>
          <c:cat>
            <c:multiLvlStrRef>
              <c:f>'9data'!$C$1:$L$2</c:f>
              <c:multiLvlStrCache>
                <c:ptCount val="10"/>
                <c:lvl>
                  <c:pt idx="0">
                    <c:v>91</c:v>
                  </c:pt>
                  <c:pt idx="1">
                    <c:v>92</c:v>
                  </c:pt>
                  <c:pt idx="2">
                    <c:v>93</c:v>
                  </c:pt>
                  <c:pt idx="3">
                    <c:v>94</c:v>
                  </c:pt>
                  <c:pt idx="4">
                    <c:v>95</c:v>
                  </c:pt>
                  <c:pt idx="5">
                    <c:v>96</c:v>
                  </c:pt>
                  <c:pt idx="6">
                    <c:v>97</c:v>
                  </c:pt>
                  <c:pt idx="7">
                    <c:v>98</c:v>
                  </c:pt>
                  <c:pt idx="8">
                    <c:v>99</c:v>
                  </c:pt>
                  <c:pt idx="9">
                    <c:v>100</c:v>
                  </c:pt>
                </c:lvl>
                <c:lvl>
                  <c:pt idx="0">
                    <c:v>2002</c:v>
                  </c:pt>
                  <c:pt idx="1">
                    <c:v>2003</c:v>
                  </c:pt>
                  <c:pt idx="2">
                    <c:v>2004</c:v>
                  </c:pt>
                  <c:pt idx="3">
                    <c:v>2005</c:v>
                  </c:pt>
                  <c:pt idx="4">
                    <c:v>2006</c:v>
                  </c:pt>
                  <c:pt idx="5">
                    <c:v>2007</c:v>
                  </c:pt>
                  <c:pt idx="6">
                    <c:v>2008</c:v>
                  </c:pt>
                  <c:pt idx="7">
                    <c:v>2009</c:v>
                  </c:pt>
                  <c:pt idx="8">
                    <c:v>2010</c:v>
                  </c:pt>
                  <c:pt idx="9">
                    <c:v>2011</c:v>
                  </c:pt>
                </c:lvl>
              </c:multiLvlStrCache>
            </c:multiLvlStrRef>
          </c:cat>
          <c:val>
            <c:numRef>
              <c:f>'9data'!$C$4:$L$4</c:f>
              <c:numCache>
                <c:formatCode>General</c:formatCode>
                <c:ptCount val="10"/>
                <c:pt idx="0">
                  <c:v>45.745524000000003</c:v>
                </c:pt>
                <c:pt idx="1">
                  <c:v>47.201835000000003</c:v>
                </c:pt>
                <c:pt idx="2">
                  <c:v>47.452843000000001</c:v>
                </c:pt>
                <c:pt idx="3">
                  <c:v>43.602060000000002</c:v>
                </c:pt>
                <c:pt idx="4">
                  <c:v>41.163055999999997</c:v>
                </c:pt>
                <c:pt idx="5">
                  <c:v>47.818387000000001</c:v>
                </c:pt>
                <c:pt idx="6">
                  <c:v>43.706858440599994</c:v>
                </c:pt>
                <c:pt idx="7">
                  <c:v>40.529887687959999</c:v>
                </c:pt>
                <c:pt idx="8">
                  <c:v>43.319995681429994</c:v>
                </c:pt>
                <c:pt idx="9">
                  <c:v>47.531565503479996</c:v>
                </c:pt>
              </c:numCache>
            </c:numRef>
          </c:val>
        </c:ser>
        <c:ser>
          <c:idx val="1"/>
          <c:order val="1"/>
          <c:tx>
            <c:strRef>
              <c:f>'9data'!$A$5</c:f>
              <c:strCache>
                <c:ptCount val="1"/>
                <c:pt idx="0">
                  <c:v>近海漁業OFFSHORE FISHERIES</c:v>
                </c:pt>
              </c:strCache>
            </c:strRef>
          </c:tx>
          <c:spPr>
            <a:solidFill>
              <a:srgbClr val="339966"/>
            </a:solidFill>
            <a:ln w="12700">
              <a:solidFill>
                <a:srgbClr val="000000"/>
              </a:solidFill>
              <a:prstDash val="solid"/>
            </a:ln>
          </c:spPr>
          <c:cat>
            <c:multiLvlStrRef>
              <c:f>'9data'!$C$1:$L$2</c:f>
              <c:multiLvlStrCache>
                <c:ptCount val="10"/>
                <c:lvl>
                  <c:pt idx="0">
                    <c:v>91</c:v>
                  </c:pt>
                  <c:pt idx="1">
                    <c:v>92</c:v>
                  </c:pt>
                  <c:pt idx="2">
                    <c:v>93</c:v>
                  </c:pt>
                  <c:pt idx="3">
                    <c:v>94</c:v>
                  </c:pt>
                  <c:pt idx="4">
                    <c:v>95</c:v>
                  </c:pt>
                  <c:pt idx="5">
                    <c:v>96</c:v>
                  </c:pt>
                  <c:pt idx="6">
                    <c:v>97</c:v>
                  </c:pt>
                  <c:pt idx="7">
                    <c:v>98</c:v>
                  </c:pt>
                  <c:pt idx="8">
                    <c:v>99</c:v>
                  </c:pt>
                  <c:pt idx="9">
                    <c:v>100</c:v>
                  </c:pt>
                </c:lvl>
                <c:lvl>
                  <c:pt idx="0">
                    <c:v>2002</c:v>
                  </c:pt>
                  <c:pt idx="1">
                    <c:v>2003</c:v>
                  </c:pt>
                  <c:pt idx="2">
                    <c:v>2004</c:v>
                  </c:pt>
                  <c:pt idx="3">
                    <c:v>2005</c:v>
                  </c:pt>
                  <c:pt idx="4">
                    <c:v>2006</c:v>
                  </c:pt>
                  <c:pt idx="5">
                    <c:v>2007</c:v>
                  </c:pt>
                  <c:pt idx="6">
                    <c:v>2008</c:v>
                  </c:pt>
                  <c:pt idx="7">
                    <c:v>2009</c:v>
                  </c:pt>
                  <c:pt idx="8">
                    <c:v>2010</c:v>
                  </c:pt>
                  <c:pt idx="9">
                    <c:v>2011</c:v>
                  </c:pt>
                </c:lvl>
              </c:multiLvlStrCache>
            </c:multiLvlStrRef>
          </c:cat>
          <c:val>
            <c:numRef>
              <c:f>'9data'!$C$5:$L$5</c:f>
              <c:numCache>
                <c:formatCode>General</c:formatCode>
                <c:ptCount val="10"/>
                <c:pt idx="0">
                  <c:v>12.539332</c:v>
                </c:pt>
                <c:pt idx="1">
                  <c:v>12.762399</c:v>
                </c:pt>
                <c:pt idx="2">
                  <c:v>13.562760000000001</c:v>
                </c:pt>
                <c:pt idx="3">
                  <c:v>12.821991000000001</c:v>
                </c:pt>
                <c:pt idx="4">
                  <c:v>9.9745799999999996</c:v>
                </c:pt>
                <c:pt idx="5">
                  <c:v>8.7438319999999994</c:v>
                </c:pt>
                <c:pt idx="6">
                  <c:v>9.5048411615599964</c:v>
                </c:pt>
                <c:pt idx="7">
                  <c:v>10.628626127490003</c:v>
                </c:pt>
                <c:pt idx="8">
                  <c:v>8.9241287032199956</c:v>
                </c:pt>
                <c:pt idx="9">
                  <c:v>12.726058</c:v>
                </c:pt>
              </c:numCache>
            </c:numRef>
          </c:val>
        </c:ser>
        <c:ser>
          <c:idx val="2"/>
          <c:order val="2"/>
          <c:tx>
            <c:strRef>
              <c:f>'9data'!$A$6</c:f>
              <c:strCache>
                <c:ptCount val="1"/>
                <c:pt idx="0">
                  <c:v>沿岸漁業COASTAL FISHERIES</c:v>
                </c:pt>
              </c:strCache>
            </c:strRef>
          </c:tx>
          <c:spPr>
            <a:solidFill>
              <a:srgbClr val="FFFF00"/>
            </a:solidFill>
            <a:ln w="12700">
              <a:solidFill>
                <a:srgbClr val="000000"/>
              </a:solidFill>
              <a:prstDash val="solid"/>
            </a:ln>
          </c:spPr>
          <c:cat>
            <c:multiLvlStrRef>
              <c:f>'9data'!$C$1:$L$2</c:f>
              <c:multiLvlStrCache>
                <c:ptCount val="10"/>
                <c:lvl>
                  <c:pt idx="0">
                    <c:v>91</c:v>
                  </c:pt>
                  <c:pt idx="1">
                    <c:v>92</c:v>
                  </c:pt>
                  <c:pt idx="2">
                    <c:v>93</c:v>
                  </c:pt>
                  <c:pt idx="3">
                    <c:v>94</c:v>
                  </c:pt>
                  <c:pt idx="4">
                    <c:v>95</c:v>
                  </c:pt>
                  <c:pt idx="5">
                    <c:v>96</c:v>
                  </c:pt>
                  <c:pt idx="6">
                    <c:v>97</c:v>
                  </c:pt>
                  <c:pt idx="7">
                    <c:v>98</c:v>
                  </c:pt>
                  <c:pt idx="8">
                    <c:v>99</c:v>
                  </c:pt>
                  <c:pt idx="9">
                    <c:v>100</c:v>
                  </c:pt>
                </c:lvl>
                <c:lvl>
                  <c:pt idx="0">
                    <c:v>2002</c:v>
                  </c:pt>
                  <c:pt idx="1">
                    <c:v>2003</c:v>
                  </c:pt>
                  <c:pt idx="2">
                    <c:v>2004</c:v>
                  </c:pt>
                  <c:pt idx="3">
                    <c:v>2005</c:v>
                  </c:pt>
                  <c:pt idx="4">
                    <c:v>2006</c:v>
                  </c:pt>
                  <c:pt idx="5">
                    <c:v>2007</c:v>
                  </c:pt>
                  <c:pt idx="6">
                    <c:v>2008</c:v>
                  </c:pt>
                  <c:pt idx="7">
                    <c:v>2009</c:v>
                  </c:pt>
                  <c:pt idx="8">
                    <c:v>2010</c:v>
                  </c:pt>
                  <c:pt idx="9">
                    <c:v>2011</c:v>
                  </c:pt>
                </c:lvl>
              </c:multiLvlStrCache>
            </c:multiLvlStrRef>
          </c:cat>
          <c:val>
            <c:numRef>
              <c:f>'9data'!$C$6:$L$6</c:f>
              <c:numCache>
                <c:formatCode>General</c:formatCode>
                <c:ptCount val="10"/>
                <c:pt idx="0">
                  <c:v>4.6165729999999998</c:v>
                </c:pt>
                <c:pt idx="1">
                  <c:v>5.987298</c:v>
                </c:pt>
                <c:pt idx="2">
                  <c:v>6.7978249999999996</c:v>
                </c:pt>
                <c:pt idx="3">
                  <c:v>5.3192320000000004</c:v>
                </c:pt>
                <c:pt idx="4">
                  <c:v>5.9848400000000002</c:v>
                </c:pt>
                <c:pt idx="5">
                  <c:v>5.5094450000000004</c:v>
                </c:pt>
                <c:pt idx="6">
                  <c:v>5.1121075205499995</c:v>
                </c:pt>
                <c:pt idx="7">
                  <c:v>5.3850045985000019</c:v>
                </c:pt>
                <c:pt idx="8">
                  <c:v>3.5966938881800008</c:v>
                </c:pt>
                <c:pt idx="9">
                  <c:v>3.5943619999999998</c:v>
                </c:pt>
              </c:numCache>
            </c:numRef>
          </c:val>
        </c:ser>
        <c:ser>
          <c:idx val="3"/>
          <c:order val="3"/>
          <c:tx>
            <c:strRef>
              <c:f>'9data'!$A$7</c:f>
              <c:strCache>
                <c:ptCount val="1"/>
                <c:pt idx="0">
                  <c:v>海面養殖MARINE CULTURE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cat>
            <c:multiLvlStrRef>
              <c:f>'9data'!$C$1:$L$2</c:f>
              <c:multiLvlStrCache>
                <c:ptCount val="10"/>
                <c:lvl>
                  <c:pt idx="0">
                    <c:v>91</c:v>
                  </c:pt>
                  <c:pt idx="1">
                    <c:v>92</c:v>
                  </c:pt>
                  <c:pt idx="2">
                    <c:v>93</c:v>
                  </c:pt>
                  <c:pt idx="3">
                    <c:v>94</c:v>
                  </c:pt>
                  <c:pt idx="4">
                    <c:v>95</c:v>
                  </c:pt>
                  <c:pt idx="5">
                    <c:v>96</c:v>
                  </c:pt>
                  <c:pt idx="6">
                    <c:v>97</c:v>
                  </c:pt>
                  <c:pt idx="7">
                    <c:v>98</c:v>
                  </c:pt>
                  <c:pt idx="8">
                    <c:v>99</c:v>
                  </c:pt>
                  <c:pt idx="9">
                    <c:v>100</c:v>
                  </c:pt>
                </c:lvl>
                <c:lvl>
                  <c:pt idx="0">
                    <c:v>2002</c:v>
                  </c:pt>
                  <c:pt idx="1">
                    <c:v>2003</c:v>
                  </c:pt>
                  <c:pt idx="2">
                    <c:v>2004</c:v>
                  </c:pt>
                  <c:pt idx="3">
                    <c:v>2005</c:v>
                  </c:pt>
                  <c:pt idx="4">
                    <c:v>2006</c:v>
                  </c:pt>
                  <c:pt idx="5">
                    <c:v>2007</c:v>
                  </c:pt>
                  <c:pt idx="6">
                    <c:v>2008</c:v>
                  </c:pt>
                  <c:pt idx="7">
                    <c:v>2009</c:v>
                  </c:pt>
                  <c:pt idx="8">
                    <c:v>2010</c:v>
                  </c:pt>
                  <c:pt idx="9">
                    <c:v>2011</c:v>
                  </c:pt>
                </c:lvl>
              </c:multiLvlStrCache>
            </c:multiLvlStrRef>
          </c:cat>
          <c:val>
            <c:numRef>
              <c:f>'9data'!$C$7:$L$7</c:f>
              <c:numCache>
                <c:formatCode>General</c:formatCode>
                <c:ptCount val="10"/>
                <c:pt idx="0">
                  <c:v>3.6364040000000002</c:v>
                </c:pt>
                <c:pt idx="1">
                  <c:v>4.3668490000000002</c:v>
                </c:pt>
                <c:pt idx="2">
                  <c:v>4.2889910000000002</c:v>
                </c:pt>
                <c:pt idx="3">
                  <c:v>3.9963709999999999</c:v>
                </c:pt>
                <c:pt idx="4">
                  <c:v>4.0841700000000003</c:v>
                </c:pt>
                <c:pt idx="5">
                  <c:v>4.613334</c:v>
                </c:pt>
                <c:pt idx="6">
                  <c:v>4.3217147904999997</c:v>
                </c:pt>
                <c:pt idx="7">
                  <c:v>2.711256128</c:v>
                </c:pt>
                <c:pt idx="8">
                  <c:v>5.9533141893999995</c:v>
                </c:pt>
                <c:pt idx="9">
                  <c:v>6.0793939343999996</c:v>
                </c:pt>
              </c:numCache>
            </c:numRef>
          </c:val>
        </c:ser>
        <c:ser>
          <c:idx val="4"/>
          <c:order val="4"/>
          <c:tx>
            <c:strRef>
              <c:f>'9data'!$A$8</c:f>
              <c:strCache>
                <c:ptCount val="1"/>
                <c:pt idx="0">
                  <c:v>內陸漁撈INLAND FISHING</c:v>
                </c:pt>
              </c:strCache>
            </c:strRef>
          </c:tx>
          <c:spPr>
            <a:solidFill>
              <a:srgbClr val="660066"/>
            </a:solidFill>
            <a:ln w="12700">
              <a:solidFill>
                <a:srgbClr val="000000"/>
              </a:solidFill>
              <a:prstDash val="solid"/>
            </a:ln>
          </c:spPr>
          <c:cat>
            <c:multiLvlStrRef>
              <c:f>'9data'!$C$1:$L$2</c:f>
              <c:multiLvlStrCache>
                <c:ptCount val="10"/>
                <c:lvl>
                  <c:pt idx="0">
                    <c:v>91</c:v>
                  </c:pt>
                  <c:pt idx="1">
                    <c:v>92</c:v>
                  </c:pt>
                  <c:pt idx="2">
                    <c:v>93</c:v>
                  </c:pt>
                  <c:pt idx="3">
                    <c:v>94</c:v>
                  </c:pt>
                  <c:pt idx="4">
                    <c:v>95</c:v>
                  </c:pt>
                  <c:pt idx="5">
                    <c:v>96</c:v>
                  </c:pt>
                  <c:pt idx="6">
                    <c:v>97</c:v>
                  </c:pt>
                  <c:pt idx="7">
                    <c:v>98</c:v>
                  </c:pt>
                  <c:pt idx="8">
                    <c:v>99</c:v>
                  </c:pt>
                  <c:pt idx="9">
                    <c:v>100</c:v>
                  </c:pt>
                </c:lvl>
                <c:lvl>
                  <c:pt idx="0">
                    <c:v>2002</c:v>
                  </c:pt>
                  <c:pt idx="1">
                    <c:v>2003</c:v>
                  </c:pt>
                  <c:pt idx="2">
                    <c:v>2004</c:v>
                  </c:pt>
                  <c:pt idx="3">
                    <c:v>2005</c:v>
                  </c:pt>
                  <c:pt idx="4">
                    <c:v>2006</c:v>
                  </c:pt>
                  <c:pt idx="5">
                    <c:v>2007</c:v>
                  </c:pt>
                  <c:pt idx="6">
                    <c:v>2008</c:v>
                  </c:pt>
                  <c:pt idx="7">
                    <c:v>2009</c:v>
                  </c:pt>
                  <c:pt idx="8">
                    <c:v>2010</c:v>
                  </c:pt>
                  <c:pt idx="9">
                    <c:v>2011</c:v>
                  </c:pt>
                </c:lvl>
              </c:multiLvlStrCache>
            </c:multiLvlStrRef>
          </c:cat>
          <c:val>
            <c:numRef>
              <c:f>'9data'!$C$8:$L$8</c:f>
              <c:numCache>
                <c:formatCode>General</c:formatCode>
                <c:ptCount val="10"/>
                <c:pt idx="0">
                  <c:v>2.9929000000000001E-2</c:v>
                </c:pt>
                <c:pt idx="1">
                  <c:v>2.9544999999999998E-2</c:v>
                </c:pt>
                <c:pt idx="2">
                  <c:v>1.4959999999999999E-2</c:v>
                </c:pt>
                <c:pt idx="3">
                  <c:v>1.3538E-2</c:v>
                </c:pt>
                <c:pt idx="4">
                  <c:v>7.4099999999999999E-3</c:v>
                </c:pt>
                <c:pt idx="5">
                  <c:v>1.4838E-2</c:v>
                </c:pt>
                <c:pt idx="6">
                  <c:v>1.612309E-2</c:v>
                </c:pt>
                <c:pt idx="7">
                  <c:v>5.8288999999999997E-3</c:v>
                </c:pt>
                <c:pt idx="8">
                  <c:v>5.5913500000000001E-3</c:v>
                </c:pt>
                <c:pt idx="9">
                  <c:v>6.1728750000000004E-3</c:v>
                </c:pt>
              </c:numCache>
            </c:numRef>
          </c:val>
        </c:ser>
        <c:ser>
          <c:idx val="5"/>
          <c:order val="5"/>
          <c:tx>
            <c:strRef>
              <c:f>'9data'!$A$9</c:f>
              <c:strCache>
                <c:ptCount val="1"/>
                <c:pt idx="0">
                  <c:v>內陸養殖INLAND CULTURE</c:v>
                </c:pt>
              </c:strCache>
            </c:strRef>
          </c:tx>
          <c:spPr>
            <a:solidFill>
              <a:srgbClr val="FF9900"/>
            </a:solidFill>
            <a:ln w="12700">
              <a:solidFill>
                <a:srgbClr val="000000"/>
              </a:solidFill>
              <a:prstDash val="solid"/>
            </a:ln>
          </c:spPr>
          <c:cat>
            <c:multiLvlStrRef>
              <c:f>'9data'!$C$1:$L$2</c:f>
              <c:multiLvlStrCache>
                <c:ptCount val="10"/>
                <c:lvl>
                  <c:pt idx="0">
                    <c:v>91</c:v>
                  </c:pt>
                  <c:pt idx="1">
                    <c:v>92</c:v>
                  </c:pt>
                  <c:pt idx="2">
                    <c:v>93</c:v>
                  </c:pt>
                  <c:pt idx="3">
                    <c:v>94</c:v>
                  </c:pt>
                  <c:pt idx="4">
                    <c:v>95</c:v>
                  </c:pt>
                  <c:pt idx="5">
                    <c:v>96</c:v>
                  </c:pt>
                  <c:pt idx="6">
                    <c:v>97</c:v>
                  </c:pt>
                  <c:pt idx="7">
                    <c:v>98</c:v>
                  </c:pt>
                  <c:pt idx="8">
                    <c:v>99</c:v>
                  </c:pt>
                  <c:pt idx="9">
                    <c:v>100</c:v>
                  </c:pt>
                </c:lvl>
                <c:lvl>
                  <c:pt idx="0">
                    <c:v>2002</c:v>
                  </c:pt>
                  <c:pt idx="1">
                    <c:v>2003</c:v>
                  </c:pt>
                  <c:pt idx="2">
                    <c:v>2004</c:v>
                  </c:pt>
                  <c:pt idx="3">
                    <c:v>2005</c:v>
                  </c:pt>
                  <c:pt idx="4">
                    <c:v>2006</c:v>
                  </c:pt>
                  <c:pt idx="5">
                    <c:v>2007</c:v>
                  </c:pt>
                  <c:pt idx="6">
                    <c:v>2008</c:v>
                  </c:pt>
                  <c:pt idx="7">
                    <c:v>2009</c:v>
                  </c:pt>
                  <c:pt idx="8">
                    <c:v>2010</c:v>
                  </c:pt>
                  <c:pt idx="9">
                    <c:v>2011</c:v>
                  </c:pt>
                </c:lvl>
              </c:multiLvlStrCache>
            </c:multiLvlStrRef>
          </c:cat>
          <c:val>
            <c:numRef>
              <c:f>'9data'!$C$9:$L$9</c:f>
              <c:numCache>
                <c:formatCode>General</c:formatCode>
                <c:ptCount val="10"/>
                <c:pt idx="0">
                  <c:v>26.240556999999999</c:v>
                </c:pt>
                <c:pt idx="1">
                  <c:v>27.302045</c:v>
                </c:pt>
                <c:pt idx="2">
                  <c:v>27.147148999999999</c:v>
                </c:pt>
                <c:pt idx="3">
                  <c:v>27.164442000000001</c:v>
                </c:pt>
                <c:pt idx="4">
                  <c:v>24.074797</c:v>
                </c:pt>
                <c:pt idx="5">
                  <c:v>28.260864999999999</c:v>
                </c:pt>
                <c:pt idx="6">
                  <c:v>29.398473068600001</c:v>
                </c:pt>
                <c:pt idx="7">
                  <c:v>26.70368963632</c:v>
                </c:pt>
                <c:pt idx="8">
                  <c:v>30.699310422099995</c:v>
                </c:pt>
                <c:pt idx="9">
                  <c:v>36.384130999999996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6675712"/>
        <c:axId val="76677888"/>
        <c:axId val="0"/>
      </c:area3DChart>
      <c:catAx>
        <c:axId val="7667571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r>
                  <a:rPr lang="zh-TW" altLang="en-US" sz="800" b="1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</a:rPr>
                  <a:t>年別</a:t>
                </a:r>
              </a:p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endParaRPr lang="zh-TW" altLang="en-US" sz="800" b="1" i="0" u="none" strike="noStrike" baseline="0">
                  <a:solidFill>
                    <a:srgbClr val="000000"/>
                  </a:solidFill>
                  <a:latin typeface="新細明體"/>
                  <a:ea typeface="新細明體"/>
                </a:endParaRPr>
              </a:p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r>
                  <a:rPr lang="zh-TW" altLang="en-US" sz="800" b="1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</a:rPr>
                  <a:t>Y</a:t>
                </a:r>
                <a:r>
                  <a:rPr lang="zh-TW" altLang="en-US" sz="800" b="1" i="0" u="none" strike="noStrike" baseline="0">
                    <a:solidFill>
                      <a:srgbClr val="000000"/>
                    </a:solidFill>
                    <a:latin typeface="Times New Roman"/>
                    <a:ea typeface="新細明體"/>
                    <a:cs typeface="Times New Roman"/>
                  </a:rPr>
                  <a:t>ear</a:t>
                </a:r>
                <a:endParaRPr lang="zh-TW" altLang="en-US"/>
              </a:p>
            </c:rich>
          </c:tx>
          <c:layout>
            <c:manualLayout>
              <c:xMode val="edge"/>
              <c:yMode val="edge"/>
              <c:x val="0.81621810294546515"/>
              <c:y val="0.67842451215337218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in"/>
        <c:minorTickMark val="none"/>
        <c:tickLblPos val="low"/>
        <c:spPr>
          <a:ln w="9525">
            <a:noFill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zh-TW"/>
          </a:p>
        </c:txPr>
        <c:crossAx val="7667788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76677888"/>
        <c:scaling>
          <c:orientation val="minMax"/>
        </c:scaling>
        <c:delete val="0"/>
        <c:axPos val="l"/>
        <c:majorGridlines>
          <c:spPr>
            <a:ln w="3175">
              <a:solidFill>
                <a:srgbClr val="FFFFFF"/>
              </a:solidFill>
              <a:prstDash val="solid"/>
            </a:ln>
          </c:spPr>
        </c:majorGridlines>
        <c:title>
          <c:tx>
            <c:rich>
              <a:bodyPr rot="0" vert="horz"/>
              <a:lstStyle/>
              <a:p>
                <a:pPr algn="ctr">
                  <a:defRPr sz="12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r>
                  <a:rPr lang="zh-TW" altLang="en-US" sz="800" b="1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</a:rPr>
                  <a:t>十億元</a:t>
                </a:r>
              </a:p>
              <a:p>
                <a:pPr algn="ctr">
                  <a:defRPr sz="12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r>
                  <a:rPr lang="zh-TW" altLang="en-US" sz="800" b="1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</a:rPr>
                  <a:t>Billion NT$</a:t>
                </a:r>
                <a:endParaRPr lang="zh-TW" altLang="en-US"/>
              </a:p>
            </c:rich>
          </c:tx>
          <c:layout>
            <c:manualLayout>
              <c:xMode val="edge"/>
              <c:yMode val="edge"/>
              <c:x val="0.11522058291334773"/>
              <c:y val="6.1128526645768025E-2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in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zh-TW"/>
          </a:p>
        </c:txPr>
        <c:crossAx val="76675712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21337142726535091"/>
          <c:y val="3.7617554858934171E-2"/>
          <c:w val="0.62588955045350825"/>
          <c:h val="6.8965517241379309E-2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新細明體"/>
              <a:ea typeface="新細明體"/>
              <a:cs typeface="新細明體"/>
            </a:defRPr>
          </a:pPr>
          <a:endParaRPr lang="zh-TW"/>
        </a:p>
      </c:txPr>
    </c:legend>
    <c:plotVisOnly val="1"/>
    <c:dispBlanksAs val="zero"/>
    <c:showDLblsOverMax val="0"/>
  </c:chart>
  <c:spPr>
    <a:noFill/>
    <a:ln w="9525">
      <a:noFill/>
    </a:ln>
  </c:spPr>
  <c:txPr>
    <a:bodyPr/>
    <a:lstStyle/>
    <a:p>
      <a:pPr>
        <a:defRPr sz="875" b="0" i="0" u="none" strike="noStrike" baseline="0">
          <a:solidFill>
            <a:srgbClr val="000000"/>
          </a:solidFill>
          <a:latin typeface="新細明體"/>
          <a:ea typeface="新細明體"/>
          <a:cs typeface="新細明體"/>
        </a:defRPr>
      </a:pPr>
      <a:endParaRPr lang="zh-TW"/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400" b="1" i="0" u="none" strike="noStrike" baseline="0">
                <a:solidFill>
                  <a:srgbClr val="000000"/>
                </a:solidFill>
                <a:latin typeface="新細明體"/>
                <a:ea typeface="新細明體"/>
              </a:rPr>
              <a:t>圖１０．台閩地區產區別漁產量值</a:t>
            </a:r>
            <a:r>
              <a:rPr lang="zh-TW" altLang="en-US" sz="1400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 </a:t>
            </a:r>
          </a:p>
          <a:p>
            <a:pPr>
              <a:defRPr sz="14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400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Fisheries Production by District in 2011</a:t>
            </a:r>
          </a:p>
          <a:p>
            <a:pPr>
              <a:defRPr sz="14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endParaRPr lang="zh-TW" altLang="en-US"/>
          </a:p>
        </c:rich>
      </c:tx>
      <c:layout>
        <c:manualLayout>
          <c:xMode val="edge"/>
          <c:yMode val="edge"/>
          <c:x val="0.26175535750338896"/>
          <c:y val="0.89336235038084877"/>
        </c:manualLayout>
      </c:layout>
      <c:overlay val="0"/>
      <c:spPr>
        <a:noFill/>
        <a:ln w="25400">
          <a:noFill/>
        </a:ln>
      </c:spPr>
    </c:title>
    <c:autoTitleDeleted val="0"/>
    <c:view3D>
      <c:rotX val="15"/>
      <c:hPercent val="69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gradFill rotWithShape="0">
          <a:gsLst>
            <a:gs pos="0">
              <a:srgbClr val="FFFFFF"/>
            </a:gs>
            <a:gs pos="100000">
              <a:srgbClr val="99CCFF"/>
            </a:gs>
          </a:gsLst>
          <a:lin ang="5400000" scaled="1"/>
        </a:gradFill>
        <a:ln w="25400">
          <a:noFill/>
        </a:ln>
      </c:spPr>
    </c:sideWall>
    <c:backWall>
      <c:thickness val="0"/>
      <c:spPr>
        <a:gradFill rotWithShape="0">
          <a:gsLst>
            <a:gs pos="0">
              <a:srgbClr val="FFFFFF"/>
            </a:gs>
            <a:gs pos="100000">
              <a:srgbClr val="99CCFF"/>
            </a:gs>
          </a:gsLst>
          <a:lin ang="5400000" scaled="1"/>
        </a:gradFill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0.27818757956262924"/>
          <c:y val="6.5260824047226225E-3"/>
          <c:w val="0.67460318897471228"/>
          <c:h val="0.96625290276491216"/>
        </c:manualLayout>
      </c:layout>
      <c:bar3DChart>
        <c:barDir val="bar"/>
        <c:grouping val="clustered"/>
        <c:varyColors val="0"/>
        <c:ser>
          <c:idx val="0"/>
          <c:order val="0"/>
          <c:tx>
            <c:strRef>
              <c:f>'10data'!$B$1</c:f>
              <c:strCache>
                <c:ptCount val="1"/>
                <c:pt idx="0">
                  <c:v>產量：萬公噸 Production:10,000mt</c:v>
                </c:pt>
              </c:strCache>
            </c:strRef>
          </c:tx>
          <c:spPr>
            <a:pattFill prst="pct90">
              <a:fgClr>
                <a:srgbClr xmlns:mc="http://schemas.openxmlformats.org/markup-compatibility/2006" xmlns:a14="http://schemas.microsoft.com/office/drawing/2010/main" val="339966" mc:Ignorable="a14" a14:legacySpreadsheetColorIndex="57"/>
              </a:fgClr>
              <a:bgClr>
                <a:srgbClr xmlns:mc="http://schemas.openxmlformats.org/markup-compatibility/2006" xmlns:a14="http://schemas.microsoft.com/office/drawing/2010/main" val="FFFF00" mc:Ignorable="a14" a14:legacySpreadsheetColorIndex="13"/>
              </a:bgClr>
            </a:pattFill>
            <a:ln w="12700">
              <a:solidFill>
                <a:srgbClr val="000080"/>
              </a:solidFill>
              <a:prstDash val="solid"/>
            </a:ln>
          </c:spPr>
          <c:invertIfNegative val="0"/>
          <c:cat>
            <c:strRef>
              <c:f>'10data'!$A$2:$A$22</c:f>
              <c:strCache>
                <c:ptCount val="21"/>
                <c:pt idx="0">
                  <c:v>新北市NEW TAIPEI CITY</c:v>
                </c:pt>
                <c:pt idx="1">
                  <c:v>台中市TAICHUNG CITY</c:v>
                </c:pt>
                <c:pt idx="2">
                  <c:v>台南市TAINAN CITY</c:v>
                </c:pt>
                <c:pt idx="3">
                  <c:v>高雄市KAOHSIUNG CITY</c:v>
                </c:pt>
                <c:pt idx="4">
                  <c:v>宜蘭縣ILAN COUNTY</c:v>
                </c:pt>
                <c:pt idx="5">
                  <c:v>桃園縣TAOYUAN COUNTY</c:v>
                </c:pt>
                <c:pt idx="6">
                  <c:v>新竹縣HSINCHU COUNTY</c:v>
                </c:pt>
                <c:pt idx="7">
                  <c:v>苗栗縣MIAOLI COUNTY</c:v>
                </c:pt>
                <c:pt idx="8">
                  <c:v>彰化縣CHANGHWA COUNTY</c:v>
                </c:pt>
                <c:pt idx="9">
                  <c:v>南投縣NANTOU COUNTY</c:v>
                </c:pt>
                <c:pt idx="10">
                  <c:v>雲林縣YUNLIN COUNTY</c:v>
                </c:pt>
                <c:pt idx="11">
                  <c:v>嘉義縣CHIAYI COUNTY</c:v>
                </c:pt>
                <c:pt idx="12">
                  <c:v>屏東縣PINGTUNG COUNTY</c:v>
                </c:pt>
                <c:pt idx="13">
                  <c:v>台東縣TAITUNG COUNTY</c:v>
                </c:pt>
                <c:pt idx="14">
                  <c:v>花蓮縣HWALEN COUNTY</c:v>
                </c:pt>
                <c:pt idx="15">
                  <c:v>澎湖縣PENGHU COUNTY</c:v>
                </c:pt>
                <c:pt idx="16">
                  <c:v>基隆市KEELUNG CITY</c:v>
                </c:pt>
                <c:pt idx="17">
                  <c:v>新竹市HSINCHU CITY</c:v>
                </c:pt>
                <c:pt idx="18">
                  <c:v>金門縣KINMEN COUNTY</c:v>
                </c:pt>
                <c:pt idx="19">
                  <c:v>連江縣LIANJIANG COUNTY</c:v>
                </c:pt>
                <c:pt idx="20">
                  <c:v>國外補給港OVERSEAS LANDING</c:v>
                </c:pt>
              </c:strCache>
            </c:strRef>
          </c:cat>
          <c:val>
            <c:numRef>
              <c:f>'10data'!$B$2:$B$22</c:f>
              <c:numCache>
                <c:formatCode>#,##0.00_ </c:formatCode>
                <c:ptCount val="21"/>
                <c:pt idx="0">
                  <c:v>3.1525712000000001</c:v>
                </c:pt>
                <c:pt idx="1">
                  <c:v>0.11010731</c:v>
                </c:pt>
                <c:pt idx="2">
                  <c:v>7.7943313999999999</c:v>
                </c:pt>
                <c:pt idx="3">
                  <c:v>27.741907387000015</c:v>
                </c:pt>
                <c:pt idx="4">
                  <c:v>7.5996888000000009</c:v>
                </c:pt>
                <c:pt idx="5">
                  <c:v>0.16803769999999998</c:v>
                </c:pt>
                <c:pt idx="6">
                  <c:v>0.30458400000000002</c:v>
                </c:pt>
                <c:pt idx="7">
                  <c:v>0.13436977</c:v>
                </c:pt>
                <c:pt idx="8">
                  <c:v>2.5748869999999999</c:v>
                </c:pt>
                <c:pt idx="9">
                  <c:v>1.30595E-2</c:v>
                </c:pt>
                <c:pt idx="10">
                  <c:v>7.6474062000000007</c:v>
                </c:pt>
                <c:pt idx="11">
                  <c:v>6.3528842430000001</c:v>
                </c:pt>
                <c:pt idx="12">
                  <c:v>7.3503436400000002</c:v>
                </c:pt>
                <c:pt idx="13">
                  <c:v>0.66030612999999982</c:v>
                </c:pt>
                <c:pt idx="14">
                  <c:v>1.0624542699999999</c:v>
                </c:pt>
                <c:pt idx="15">
                  <c:v>0.76454122000000002</c:v>
                </c:pt>
                <c:pt idx="16">
                  <c:v>6.8941873000000005</c:v>
                </c:pt>
                <c:pt idx="17">
                  <c:v>0.49758930000000001</c:v>
                </c:pt>
                <c:pt idx="18">
                  <c:v>4.9132840000000004E-2</c:v>
                </c:pt>
                <c:pt idx="19">
                  <c:v>7.3653899999999994E-2</c:v>
                </c:pt>
                <c:pt idx="20">
                  <c:v>41.319417000000001</c:v>
                </c:pt>
              </c:numCache>
            </c:numRef>
          </c:val>
          <c:shape val="cylinder"/>
        </c:ser>
        <c:ser>
          <c:idx val="1"/>
          <c:order val="1"/>
          <c:tx>
            <c:strRef>
              <c:f>'10data'!$C$1</c:f>
              <c:strCache>
                <c:ptCount val="1"/>
                <c:pt idx="0">
                  <c:v>價值：十億元Value:Billion NT$</c:v>
                </c:pt>
              </c:strCache>
            </c:strRef>
          </c:tx>
          <c:spPr>
            <a:pattFill prst="pct90">
              <a:fgClr>
                <a:srgbClr xmlns:mc="http://schemas.openxmlformats.org/markup-compatibility/2006" xmlns:a14="http://schemas.microsoft.com/office/drawing/2010/main" val="FF8080" mc:Ignorable="a14" a14:legacySpreadsheetColorIndex="29"/>
              </a:fgClr>
              <a:bgClr>
                <a:srgbClr xmlns:mc="http://schemas.openxmlformats.org/markup-compatibility/2006" xmlns:a14="http://schemas.microsoft.com/office/drawing/2010/main" val="993366" mc:Ignorable="a14" a14:legacySpreadsheetColorIndex="25"/>
              </a:bgClr>
            </a:pattFill>
            <a:ln w="12700">
              <a:solidFill>
                <a:srgbClr val="800000"/>
              </a:solidFill>
              <a:prstDash val="solid"/>
            </a:ln>
          </c:spPr>
          <c:invertIfNegative val="1"/>
          <c:cat>
            <c:strRef>
              <c:f>'10data'!$A$2:$A$22</c:f>
              <c:strCache>
                <c:ptCount val="21"/>
                <c:pt idx="0">
                  <c:v>新北市NEW TAIPEI CITY</c:v>
                </c:pt>
                <c:pt idx="1">
                  <c:v>台中市TAICHUNG CITY</c:v>
                </c:pt>
                <c:pt idx="2">
                  <c:v>台南市TAINAN CITY</c:v>
                </c:pt>
                <c:pt idx="3">
                  <c:v>高雄市KAOHSIUNG CITY</c:v>
                </c:pt>
                <c:pt idx="4">
                  <c:v>宜蘭縣ILAN COUNTY</c:v>
                </c:pt>
                <c:pt idx="5">
                  <c:v>桃園縣TAOYUAN COUNTY</c:v>
                </c:pt>
                <c:pt idx="6">
                  <c:v>新竹縣HSINCHU COUNTY</c:v>
                </c:pt>
                <c:pt idx="7">
                  <c:v>苗栗縣MIAOLI COUNTY</c:v>
                </c:pt>
                <c:pt idx="8">
                  <c:v>彰化縣CHANGHWA COUNTY</c:v>
                </c:pt>
                <c:pt idx="9">
                  <c:v>南投縣NANTOU COUNTY</c:v>
                </c:pt>
                <c:pt idx="10">
                  <c:v>雲林縣YUNLIN COUNTY</c:v>
                </c:pt>
                <c:pt idx="11">
                  <c:v>嘉義縣CHIAYI COUNTY</c:v>
                </c:pt>
                <c:pt idx="12">
                  <c:v>屏東縣PINGTUNG COUNTY</c:v>
                </c:pt>
                <c:pt idx="13">
                  <c:v>台東縣TAITUNG COUNTY</c:v>
                </c:pt>
                <c:pt idx="14">
                  <c:v>花蓮縣HWALEN COUNTY</c:v>
                </c:pt>
                <c:pt idx="15">
                  <c:v>澎湖縣PENGHU COUNTY</c:v>
                </c:pt>
                <c:pt idx="16">
                  <c:v>基隆市KEELUNG CITY</c:v>
                </c:pt>
                <c:pt idx="17">
                  <c:v>新竹市HSINCHU CITY</c:v>
                </c:pt>
                <c:pt idx="18">
                  <c:v>金門縣KINMEN COUNTY</c:v>
                </c:pt>
                <c:pt idx="19">
                  <c:v>連江縣LIANJIANG COUNTY</c:v>
                </c:pt>
                <c:pt idx="20">
                  <c:v>國外補給港OVERSEAS LANDING</c:v>
                </c:pt>
              </c:strCache>
            </c:strRef>
          </c:cat>
          <c:val>
            <c:numRef>
              <c:f>'10data'!$C$2:$C$22</c:f>
              <c:numCache>
                <c:formatCode>#,##0.00_ </c:formatCode>
                <c:ptCount val="21"/>
                <c:pt idx="0">
                  <c:v>1.3695862080000001</c:v>
                </c:pt>
                <c:pt idx="1">
                  <c:v>0.18770245900000002</c:v>
                </c:pt>
                <c:pt idx="2">
                  <c:v>8.2365658279999998</c:v>
                </c:pt>
                <c:pt idx="3">
                  <c:v>11.553695594790005</c:v>
                </c:pt>
                <c:pt idx="4">
                  <c:v>4.1485821080000003</c:v>
                </c:pt>
                <c:pt idx="5">
                  <c:v>0.266922981</c:v>
                </c:pt>
                <c:pt idx="6">
                  <c:v>0.27967630919999997</c:v>
                </c:pt>
                <c:pt idx="7">
                  <c:v>0.13830421682999999</c:v>
                </c:pt>
                <c:pt idx="8">
                  <c:v>3.4425653642399996</c:v>
                </c:pt>
                <c:pt idx="9">
                  <c:v>3.2911190869999996E-2</c:v>
                </c:pt>
                <c:pt idx="10">
                  <c:v>9.7835474577100019</c:v>
                </c:pt>
                <c:pt idx="11">
                  <c:v>6.2991118690699999</c:v>
                </c:pt>
                <c:pt idx="12">
                  <c:v>12.339275238570002</c:v>
                </c:pt>
                <c:pt idx="13">
                  <c:v>0.77321792429999991</c:v>
                </c:pt>
                <c:pt idx="14">
                  <c:v>0.75522458920000002</c:v>
                </c:pt>
                <c:pt idx="15">
                  <c:v>1.5319496248400002</c:v>
                </c:pt>
                <c:pt idx="16">
                  <c:v>8.8079272500000005</c:v>
                </c:pt>
                <c:pt idx="17">
                  <c:v>0.62510831073000006</c:v>
                </c:pt>
                <c:pt idx="18">
                  <c:v>9.995006699999999E-2</c:v>
                </c:pt>
                <c:pt idx="19">
                  <c:v>0.13180392999999999</c:v>
                </c:pt>
                <c:pt idx="20">
                  <c:v>35.562992341059996</c:v>
                </c:pt>
              </c:numCache>
            </c:numRef>
          </c:val>
          <c:shape val="cylinder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76717056"/>
        <c:axId val="76718848"/>
        <c:axId val="0"/>
      </c:bar3DChart>
      <c:catAx>
        <c:axId val="76717056"/>
        <c:scaling>
          <c:orientation val="maxMin"/>
        </c:scaling>
        <c:delete val="0"/>
        <c:axPos val="l"/>
        <c:numFmt formatCode="General" sourceLinked="1"/>
        <c:majorTickMark val="in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zh-TW"/>
          </a:p>
        </c:txPr>
        <c:crossAx val="76718848"/>
        <c:crosses val="autoZero"/>
        <c:auto val="0"/>
        <c:lblAlgn val="ctr"/>
        <c:lblOffset val="100"/>
        <c:tickLblSkip val="1"/>
        <c:tickMarkSkip val="1"/>
        <c:noMultiLvlLbl val="0"/>
      </c:catAx>
      <c:valAx>
        <c:axId val="76718848"/>
        <c:scaling>
          <c:orientation val="minMax"/>
        </c:scaling>
        <c:delete val="0"/>
        <c:axPos val="b"/>
        <c:majorGridlines>
          <c:spPr>
            <a:ln w="3175">
              <a:solidFill>
                <a:srgbClr val="FFCC99"/>
              </a:solidFill>
              <a:prstDash val="lgDashDotDot"/>
            </a:ln>
          </c:spPr>
        </c:majorGridlines>
        <c:numFmt formatCode="0_ " sourceLinked="0"/>
        <c:majorTickMark val="in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endParaRPr lang="zh-TW"/>
          </a:p>
        </c:txPr>
        <c:crossAx val="76717056"/>
        <c:crosses val="max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49896059695834727"/>
          <c:y val="4.0007311382051131E-2"/>
          <c:w val="0.42163009843549781"/>
          <c:h val="7.0729053318824814E-2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920" b="1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zh-TW"/>
        </a:p>
      </c:txPr>
    </c:legend>
    <c:plotVisOnly val="1"/>
    <c:dispBlanksAs val="gap"/>
    <c:showDLblsOverMax val="0"/>
  </c:chart>
  <c:spPr>
    <a:noFill/>
    <a:ln w="9525">
      <a:noFill/>
    </a:ln>
  </c:spPr>
  <c:txPr>
    <a:bodyPr/>
    <a:lstStyle/>
    <a:p>
      <a:pPr>
        <a:defRPr sz="1925" b="0" i="0" u="none" strike="noStrike" baseline="0">
          <a:solidFill>
            <a:srgbClr val="000000"/>
          </a:solidFill>
          <a:latin typeface="新細明體"/>
          <a:ea typeface="新細明體"/>
          <a:cs typeface="新細明體"/>
        </a:defRPr>
      </a:pPr>
      <a:endParaRPr lang="zh-TW"/>
    </a:p>
  </c:txPr>
  <c:externalData r:id="rId1">
    <c:autoUpdate val="0"/>
  </c:externalData>
  <c:userShapes r:id="rId2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400" b="1" i="0" u="none" strike="noStrike" baseline="0">
                <a:solidFill>
                  <a:srgbClr val="000000"/>
                </a:solidFill>
                <a:latin typeface="新細明體"/>
                <a:ea typeface="新細明體"/>
              </a:rPr>
              <a:t>圖１１．主要魚貝類</a:t>
            </a:r>
            <a:r>
              <a:rPr lang="zh-TW" altLang="en-US" sz="1400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(</a:t>
            </a:r>
            <a:r>
              <a:rPr lang="zh-TW" altLang="en-US" sz="14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Times New Roman"/>
              </a:rPr>
              <a:t>前</a:t>
            </a:r>
            <a:r>
              <a:rPr lang="zh-TW" altLang="en-US" sz="1400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15</a:t>
            </a:r>
            <a:r>
              <a:rPr lang="zh-TW" altLang="en-US" sz="14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Times New Roman"/>
              </a:rPr>
              <a:t>名</a:t>
            </a:r>
            <a:r>
              <a:rPr lang="zh-TW" altLang="en-US" sz="1400" b="1" i="0" u="none" strike="noStrike" baseline="0">
                <a:solidFill>
                  <a:srgbClr val="000000"/>
                </a:solidFill>
                <a:latin typeface="Times New Roman"/>
                <a:ea typeface="新細明體"/>
                <a:cs typeface="Times New Roman"/>
              </a:rPr>
              <a:t>)</a:t>
            </a:r>
            <a:r>
              <a:rPr lang="zh-TW" altLang="en-US" sz="14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Times New Roman"/>
              </a:rPr>
              <a:t>產量值</a:t>
            </a:r>
          </a:p>
          <a:p>
            <a:pPr>
              <a:defRPr sz="14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r>
              <a:rPr lang="zh-TW" altLang="en-US" sz="1400" b="1" i="0" u="none" strike="noStrike" baseline="0">
                <a:solidFill>
                  <a:srgbClr val="000000"/>
                </a:solidFill>
                <a:latin typeface="Times New Roman"/>
                <a:cs typeface="Times New Roman"/>
              </a:rPr>
              <a:t>Production by Major Species in 2011</a:t>
            </a:r>
          </a:p>
          <a:p>
            <a:pPr>
              <a:defRPr sz="1400" b="1" i="0" u="none" strike="noStrike" baseline="0">
                <a:solidFill>
                  <a:srgbClr val="000000"/>
                </a:solidFill>
                <a:latin typeface="新細明體"/>
                <a:ea typeface="新細明體"/>
                <a:cs typeface="新細明體"/>
              </a:defRPr>
            </a:pPr>
            <a:endParaRPr lang="zh-TW" altLang="en-US"/>
          </a:p>
        </c:rich>
      </c:tx>
      <c:layout>
        <c:manualLayout>
          <c:xMode val="edge"/>
          <c:yMode val="edge"/>
          <c:x val="0.17247412073490814"/>
          <c:y val="0.88526319179427726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0627186740515725"/>
          <c:y val="6.1052631578947365E-2"/>
          <c:w val="0.71777064542499647"/>
          <c:h val="0.65578947368421048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'11data'!$C$3</c:f>
              <c:strCache>
                <c:ptCount val="1"/>
                <c:pt idx="0">
                  <c:v>產量PRODUCTION</c:v>
                </c:pt>
              </c:strCache>
            </c:strRef>
          </c:tx>
          <c:spPr>
            <a:gradFill rotWithShape="0">
              <a:gsLst>
                <a:gs pos="0">
                  <a:srgbClr val="000000"/>
                </a:gs>
                <a:gs pos="50000">
                  <a:srgbClr val="0000FF"/>
                </a:gs>
                <a:gs pos="100000">
                  <a:srgbClr val="000000"/>
                </a:gs>
              </a:gsLst>
              <a:lin ang="0" scaled="1"/>
            </a:gradFill>
            <a:ln w="12700">
              <a:solidFill>
                <a:srgbClr val="000080"/>
              </a:solidFill>
              <a:prstDash val="solid"/>
            </a:ln>
          </c:spPr>
          <c:invertIfNegative val="0"/>
          <c:cat>
            <c:strRef>
              <c:f>'11data'!$B$4:$B$18</c:f>
              <c:strCache>
                <c:ptCount val="15"/>
                <c:pt idx="0">
                  <c:v>正　　鰹  Skipjack</c:v>
                </c:pt>
                <c:pt idx="1">
                  <c:v>秋 刀 魚  Saury</c:v>
                </c:pt>
                <c:pt idx="2">
                  <c:v>魷　　魚  Squid　</c:v>
                </c:pt>
                <c:pt idx="3">
                  <c:v> 鯖  Mackerel</c:v>
                </c:pt>
                <c:pt idx="4">
                  <c:v>吳郭魚類  Tilapia</c:v>
                </c:pt>
                <c:pt idx="5">
                  <c:v>文　　蛤  Hard clam</c:v>
                </c:pt>
                <c:pt idx="6">
                  <c:v>黃 鰭 鮪  Yellow Fin Tuna</c:v>
                </c:pt>
                <c:pt idx="7">
                  <c:v>大 目 鮪  Big Eye Tuna</c:v>
                </c:pt>
                <c:pt idx="8">
                  <c:v>虱 目 魚  Milkfish</c:v>
                </c:pt>
                <c:pt idx="9">
                  <c:v>長 鰭 鮪  Long Fin Tuna</c:v>
                </c:pt>
                <c:pt idx="10">
                  <c:v>牡　　蠣  Oyster</c:v>
                </c:pt>
                <c:pt idx="11">
                  <c:v>鱸 魚   Sea perch</c:v>
                </c:pt>
                <c:pt idx="12">
                  <c:v>大　　鯊  Sharks</c:v>
                </c:pt>
                <c:pt idx="13">
                  <c:v>水　　鯊  Blue Sharks</c:v>
                </c:pt>
                <c:pt idx="14">
                  <c:v>黑皮旗魚    Blue Marlin</c:v>
                </c:pt>
              </c:strCache>
            </c:strRef>
          </c:cat>
          <c:val>
            <c:numRef>
              <c:f>'11data'!$C$4:$C$18</c:f>
              <c:numCache>
                <c:formatCode>#,##0.00_ </c:formatCode>
                <c:ptCount val="15"/>
                <c:pt idx="0">
                  <c:v>162.320955</c:v>
                </c:pt>
                <c:pt idx="1">
                  <c:v>160.53140599999998</c:v>
                </c:pt>
                <c:pt idx="2">
                  <c:v>104.521629</c:v>
                </c:pt>
                <c:pt idx="3">
                  <c:v>98.603683000000004</c:v>
                </c:pt>
                <c:pt idx="4">
                  <c:v>67.22354</c:v>
                </c:pt>
                <c:pt idx="5">
                  <c:v>59.764065600000002</c:v>
                </c:pt>
                <c:pt idx="6">
                  <c:v>55.202453700000007</c:v>
                </c:pt>
                <c:pt idx="7">
                  <c:v>50.649442000000001</c:v>
                </c:pt>
                <c:pt idx="8">
                  <c:v>49.469250000000002</c:v>
                </c:pt>
                <c:pt idx="9">
                  <c:v>47.2087942</c:v>
                </c:pt>
                <c:pt idx="10">
                  <c:v>34.642600000000002</c:v>
                </c:pt>
                <c:pt idx="11">
                  <c:v>24.152936</c:v>
                </c:pt>
                <c:pt idx="12">
                  <c:v>22.421205999999998</c:v>
                </c:pt>
                <c:pt idx="13">
                  <c:v>18.224285999999999</c:v>
                </c:pt>
                <c:pt idx="14">
                  <c:v>15.499560199999999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76741632"/>
        <c:axId val="92165632"/>
      </c:barChart>
      <c:lineChart>
        <c:grouping val="standard"/>
        <c:varyColors val="0"/>
        <c:ser>
          <c:idx val="0"/>
          <c:order val="1"/>
          <c:tx>
            <c:strRef>
              <c:f>'11data'!$D$3</c:f>
              <c:strCache>
                <c:ptCount val="1"/>
                <c:pt idx="0">
                  <c:v>產值           VALUE</c:v>
                </c:pt>
              </c:strCache>
            </c:strRef>
          </c:tx>
          <c:spPr>
            <a:ln w="38100">
              <a:solidFill>
                <a:srgbClr val="FF0000"/>
              </a:solidFill>
              <a:prstDash val="solid"/>
            </a:ln>
          </c:spPr>
          <c:marker>
            <c:symbol val="circle"/>
            <c:size val="5"/>
            <c:spPr>
              <a:solidFill>
                <a:srgbClr val="FFCC00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val>
            <c:numRef>
              <c:f>'11data'!$D$4:$D$18</c:f>
              <c:numCache>
                <c:formatCode>#,##0.00_ </c:formatCode>
                <c:ptCount val="15"/>
                <c:pt idx="0">
                  <c:v>5.394518122</c:v>
                </c:pt>
                <c:pt idx="1">
                  <c:v>4.2648058473399999</c:v>
                </c:pt>
                <c:pt idx="2">
                  <c:v>1.9978621675800001</c:v>
                </c:pt>
                <c:pt idx="3">
                  <c:v>4.8489450029999999</c:v>
                </c:pt>
                <c:pt idx="4">
                  <c:v>3.261389866</c:v>
                </c:pt>
                <c:pt idx="5">
                  <c:v>3.1042953165</c:v>
                </c:pt>
                <c:pt idx="6">
                  <c:v>7.845803521759998</c:v>
                </c:pt>
                <c:pt idx="7">
                  <c:v>13.972418711</c:v>
                </c:pt>
                <c:pt idx="8">
                  <c:v>3.70762101</c:v>
                </c:pt>
                <c:pt idx="9">
                  <c:v>3.6795108015799998</c:v>
                </c:pt>
                <c:pt idx="10">
                  <c:v>5.2917463300000005</c:v>
                </c:pt>
                <c:pt idx="11">
                  <c:v>2.637426166</c:v>
                </c:pt>
                <c:pt idx="12">
                  <c:v>1.1397195309999999</c:v>
                </c:pt>
                <c:pt idx="13">
                  <c:v>0.66940000205999994</c:v>
                </c:pt>
                <c:pt idx="14">
                  <c:v>1.6343847326000001</c:v>
                </c:pt>
              </c:numCache>
            </c:numRef>
          </c: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2167168"/>
        <c:axId val="96940800"/>
      </c:lineChart>
      <c:catAx>
        <c:axId val="7674163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r>
                  <a:rPr lang="zh-TW" altLang="en-US" sz="1000" b="1" i="0" u="none" strike="noStrike" baseline="0">
                    <a:solidFill>
                      <a:srgbClr val="000000"/>
                    </a:solidFill>
                    <a:latin typeface="細明體"/>
                    <a:ea typeface="細明體"/>
                  </a:rPr>
                  <a:t>魚種別</a:t>
                </a:r>
              </a:p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新細明體"/>
                    <a:ea typeface="新細明體"/>
                    <a:cs typeface="新細明體"/>
                  </a:defRPr>
                </a:pPr>
                <a:r>
                  <a:rPr lang="zh-TW" altLang="en-US" sz="1000" b="1" i="0" u="none" strike="noStrike" baseline="0">
                    <a:solidFill>
                      <a:srgbClr val="000000"/>
                    </a:solidFill>
                    <a:latin typeface="細明體"/>
                    <a:ea typeface="細明體"/>
                  </a:rPr>
                  <a:t>Spe</a:t>
                </a:r>
                <a:r>
                  <a:rPr lang="zh-TW" altLang="en-US" sz="1000" b="1" i="0" u="none" strike="noStrike" baseline="0">
                    <a:solidFill>
                      <a:srgbClr val="000000"/>
                    </a:solidFill>
                    <a:latin typeface="Times New Roman"/>
                    <a:ea typeface="細明體"/>
                    <a:cs typeface="Times New Roman"/>
                  </a:rPr>
                  <a:t>cies</a:t>
                </a:r>
                <a:endParaRPr lang="zh-TW" altLang="en-US"/>
              </a:p>
            </c:rich>
          </c:tx>
          <c:layout>
            <c:manualLayout>
              <c:xMode val="edge"/>
              <c:yMode val="edge"/>
              <c:x val="0.84494849343832013"/>
              <c:y val="0.73263159589713855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in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zh-TW"/>
          </a:p>
        </c:txPr>
        <c:crossAx val="92165632"/>
        <c:crosses val="autoZero"/>
        <c:auto val="0"/>
        <c:lblAlgn val="ctr"/>
        <c:lblOffset val="100"/>
        <c:tickLblSkip val="1"/>
        <c:tickMarkSkip val="1"/>
        <c:noMultiLvlLbl val="0"/>
      </c:catAx>
      <c:valAx>
        <c:axId val="92165632"/>
        <c:scaling>
          <c:orientation val="minMax"/>
          <c:max val="200"/>
        </c:scaling>
        <c:delete val="0"/>
        <c:axPos val="l"/>
        <c:numFmt formatCode="#,##0_ " sourceLinked="0"/>
        <c:majorTickMark val="in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zh-TW"/>
          </a:p>
        </c:txPr>
        <c:crossAx val="76741632"/>
        <c:crosses val="autoZero"/>
        <c:crossBetween val="between"/>
        <c:majorUnit val="20"/>
      </c:valAx>
      <c:catAx>
        <c:axId val="92167168"/>
        <c:scaling>
          <c:orientation val="minMax"/>
        </c:scaling>
        <c:delete val="1"/>
        <c:axPos val="b"/>
        <c:majorTickMark val="out"/>
        <c:minorTickMark val="none"/>
        <c:tickLblPos val="nextTo"/>
        <c:crossAx val="96940800"/>
        <c:crosses val="autoZero"/>
        <c:auto val="0"/>
        <c:lblAlgn val="ctr"/>
        <c:lblOffset val="100"/>
        <c:noMultiLvlLbl val="0"/>
      </c:catAx>
      <c:valAx>
        <c:axId val="96940800"/>
        <c:scaling>
          <c:orientation val="minMax"/>
        </c:scaling>
        <c:delete val="0"/>
        <c:axPos val="r"/>
        <c:numFmt formatCode="#,##0_ " sourceLinked="0"/>
        <c:majorTickMark val="in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zh-TW"/>
          </a:p>
        </c:txPr>
        <c:crossAx val="92167168"/>
        <c:crosses val="max"/>
        <c:crossBetween val="between"/>
      </c:valAx>
      <c:spPr>
        <a:gradFill rotWithShape="0">
          <a:gsLst>
            <a:gs pos="0">
              <a:srgbClr val="FFFFFF"/>
            </a:gs>
            <a:gs pos="100000">
              <a:srgbClr val="99CCFF"/>
            </a:gs>
          </a:gsLst>
          <a:lin ang="5400000" scaled="1"/>
        </a:gradFill>
        <a:ln w="25400">
          <a:noFill/>
        </a:ln>
      </c:spPr>
    </c:plotArea>
    <c:legend>
      <c:legendPos val="r"/>
      <c:legendEntry>
        <c:idx val="0"/>
        <c:txPr>
          <a:bodyPr/>
          <a:lstStyle/>
          <a:p>
            <a:pPr>
              <a:defRPr sz="5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zh-TW"/>
          </a:p>
        </c:txPr>
      </c:legendEntry>
      <c:legendEntry>
        <c:idx val="1"/>
        <c:txPr>
          <a:bodyPr/>
          <a:lstStyle/>
          <a:p>
            <a:pPr>
              <a:defRPr sz="5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zh-TW"/>
          </a:p>
        </c:txPr>
      </c:legendEntry>
      <c:layout>
        <c:manualLayout>
          <c:xMode val="edge"/>
          <c:yMode val="edge"/>
          <c:x val="0.59756144881889761"/>
          <c:y val="0.14947372375999013"/>
          <c:w val="0.1759583412073491"/>
          <c:h val="7.5789468034287127E-2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55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zh-TW"/>
        </a:p>
      </c:txPr>
    </c:legend>
    <c:plotVisOnly val="1"/>
    <c:dispBlanksAs val="gap"/>
    <c:showDLblsOverMax val="0"/>
  </c:chart>
  <c:spPr>
    <a:noFill/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zh-TW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0.76525</cdr:x>
      <cdr:y>0.96</cdr:y>
    </cdr:from>
    <cdr:to>
      <cdr:x>0.773</cdr:x>
      <cdr:y>0.996</cdr:y>
    </cdr:to>
    <cdr:sp macro="" textlink="">
      <cdr:nvSpPr>
        <cdr:cNvPr id="24577" name="文字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650386" y="8403336"/>
          <a:ext cx="47096" cy="31512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zh-TW" altLang="en-US"/>
        </a:p>
      </cdr:txBody>
    </cdr:sp>
  </cdr:relSizeAnchor>
  <cdr:relSizeAnchor xmlns:cdr="http://schemas.openxmlformats.org/drawingml/2006/chartDrawing">
    <cdr:from>
      <cdr:x>0.22725</cdr:x>
      <cdr:y>0.292</cdr:y>
    </cdr:from>
    <cdr:to>
      <cdr:x>0.235</cdr:x>
      <cdr:y>0.328</cdr:y>
    </cdr:to>
    <cdr:sp macro="" textlink="">
      <cdr:nvSpPr>
        <cdr:cNvPr id="24578" name="文字 9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380987" y="2556015"/>
          <a:ext cx="47096" cy="31512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zh-TW" altLang="en-US"/>
        </a:p>
      </cdr:txBody>
    </cdr:sp>
  </cdr:relSizeAnchor>
  <cdr:relSizeAnchor xmlns:cdr="http://schemas.openxmlformats.org/drawingml/2006/chartDrawing">
    <cdr:from>
      <cdr:x>0.22725</cdr:x>
      <cdr:y>0.451</cdr:y>
    </cdr:from>
    <cdr:to>
      <cdr:x>0.235</cdr:x>
      <cdr:y>0.487</cdr:y>
    </cdr:to>
    <cdr:sp macro="" textlink="">
      <cdr:nvSpPr>
        <cdr:cNvPr id="24579" name="文字 15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380987" y="3947817"/>
          <a:ext cx="47096" cy="31512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zh-TW" altLang="en-US"/>
        </a:p>
      </cdr:txBody>
    </cdr:sp>
  </cdr:relSizeAnchor>
  <cdr:relSizeAnchor xmlns:cdr="http://schemas.openxmlformats.org/drawingml/2006/chartDrawing">
    <cdr:from>
      <cdr:x>0.20625</cdr:x>
      <cdr:y>0.451</cdr:y>
    </cdr:from>
    <cdr:to>
      <cdr:x>0.214</cdr:x>
      <cdr:y>0.487</cdr:y>
    </cdr:to>
    <cdr:sp macro="" textlink="">
      <cdr:nvSpPr>
        <cdr:cNvPr id="24580" name="文字 18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253371" y="3947817"/>
          <a:ext cx="47096" cy="31512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zh-TW" altLang="en-US"/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0.09959</cdr:x>
      <cdr:y>0.00526</cdr:y>
    </cdr:from>
    <cdr:to>
      <cdr:x>0.22143</cdr:x>
      <cdr:y>0.04954</cdr:y>
    </cdr:to>
    <cdr:sp macro="" textlink="">
      <cdr:nvSpPr>
        <cdr:cNvPr id="95233" name="文字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548600" y="50800"/>
          <a:ext cx="667322" cy="40109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7432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zh-TW" altLang="en-US" sz="1050" b="1" i="0" u="none" strike="noStrike" baseline="0">
              <a:solidFill>
                <a:srgbClr val="000000"/>
              </a:solidFill>
              <a:latin typeface="細明體"/>
              <a:ea typeface="細明體"/>
            </a:rPr>
            <a:t>千公噸</a:t>
          </a:r>
        </a:p>
        <a:p xmlns:a="http://schemas.openxmlformats.org/drawingml/2006/main">
          <a:pPr algn="l" rtl="0">
            <a:defRPr sz="1000"/>
          </a:pPr>
          <a:r>
            <a:rPr lang="zh-TW" altLang="en-US" sz="1050" b="1" i="0" u="none" strike="noStrike" baseline="0">
              <a:solidFill>
                <a:srgbClr val="000000"/>
              </a:solidFill>
              <a:latin typeface="Times New Roman"/>
              <a:cs typeface="Times New Roman"/>
            </a:rPr>
            <a:t>1,000 mt</a:t>
          </a:r>
          <a:endParaRPr lang="zh-TW" altLang="en-US"/>
        </a:p>
      </cdr:txBody>
    </cdr:sp>
  </cdr:relSizeAnchor>
  <cdr:relSizeAnchor xmlns:cdr="http://schemas.openxmlformats.org/drawingml/2006/chartDrawing">
    <cdr:from>
      <cdr:x>0.72428</cdr:x>
      <cdr:y>0.00526</cdr:y>
    </cdr:from>
    <cdr:to>
      <cdr:x>0.83989</cdr:x>
      <cdr:y>0.04293</cdr:y>
    </cdr:to>
    <cdr:sp macro="" textlink="">
      <cdr:nvSpPr>
        <cdr:cNvPr id="95234" name="文字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311729" y="48999"/>
          <a:ext cx="688265" cy="35093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wrap="none" lIns="18288" tIns="27432" rIns="0" bIns="0" anchor="t" upright="1">
          <a:spAutoFit/>
        </a:bodyPr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zh-TW" altLang="en-US" sz="1000" b="1" i="0" u="none" strike="noStrike" baseline="0">
              <a:solidFill>
                <a:srgbClr val="000000"/>
              </a:solidFill>
              <a:latin typeface="細明體"/>
              <a:ea typeface="細明體"/>
            </a:rPr>
            <a:t>十億元</a:t>
          </a:r>
        </a:p>
        <a:p xmlns:a="http://schemas.openxmlformats.org/drawingml/2006/main">
          <a:pPr algn="l" rtl="0">
            <a:defRPr sz="1000"/>
          </a:pPr>
          <a:r>
            <a:rPr lang="zh-TW" altLang="en-US" sz="1000" b="1" i="0" u="none" strike="noStrike" baseline="0">
              <a:solidFill>
                <a:srgbClr val="000000"/>
              </a:solidFill>
              <a:latin typeface="Arial"/>
              <a:cs typeface="Arial"/>
            </a:rPr>
            <a:t>Billion NT$</a:t>
          </a:r>
          <a:endParaRPr lang="zh-TW" altLang="en-US"/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0.91108</cdr:x>
      <cdr:y>0.74136</cdr:y>
    </cdr:from>
    <cdr:to>
      <cdr:x>0.97014</cdr:x>
      <cdr:y>0.8367</cdr:y>
    </cdr:to>
    <cdr:sp macro="" textlink="">
      <cdr:nvSpPr>
        <cdr:cNvPr id="41985" name="文字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5050618" y="3382436"/>
          <a:ext cx="327397" cy="43499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wrap="none" lIns="18288" tIns="18288" rIns="0" bIns="0" anchor="t" upright="1">
          <a:spAutoFit/>
        </a:bodyPr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zh-TW" altLang="en-US" sz="850" b="1" i="0" u="none" strike="noStrike" baseline="0">
              <a:solidFill>
                <a:srgbClr val="000000"/>
              </a:solidFill>
              <a:latin typeface="細明體"/>
              <a:ea typeface="細明體"/>
            </a:rPr>
            <a:t>年別</a:t>
          </a:r>
        </a:p>
        <a:p xmlns:a="http://schemas.openxmlformats.org/drawingml/2006/main">
          <a:pPr algn="l" rtl="0">
            <a:lnSpc>
              <a:spcPts val="1000"/>
            </a:lnSpc>
            <a:defRPr sz="1000"/>
          </a:pPr>
          <a:endParaRPr lang="zh-TW" altLang="en-US" sz="850" b="1" i="0" u="none" strike="noStrike" baseline="0">
            <a:solidFill>
              <a:srgbClr val="000000"/>
            </a:solidFill>
            <a:latin typeface="細明體"/>
            <a:ea typeface="細明體"/>
          </a:endParaRPr>
        </a:p>
        <a:p xmlns:a="http://schemas.openxmlformats.org/drawingml/2006/main">
          <a:pPr algn="l" rtl="0">
            <a:defRPr sz="1000"/>
          </a:pPr>
          <a:r>
            <a:rPr lang="zh-TW" altLang="en-US" sz="850" b="1" i="0" u="none" strike="noStrike" baseline="0">
              <a:solidFill>
                <a:srgbClr val="000000"/>
              </a:solidFill>
              <a:latin typeface="Times New Roman"/>
              <a:cs typeface="Times New Roman"/>
            </a:rPr>
            <a:t>YEAR</a:t>
          </a:r>
          <a:endParaRPr lang="zh-TW" altLang="en-US"/>
        </a:p>
      </cdr:txBody>
    </cdr: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0.88031</cdr:x>
      <cdr:y>0.76226</cdr:y>
    </cdr:from>
    <cdr:to>
      <cdr:x>0.93988</cdr:x>
      <cdr:y>0.8394</cdr:y>
    </cdr:to>
    <cdr:sp macro="" textlink="">
      <cdr:nvSpPr>
        <cdr:cNvPr id="40961" name="文字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684378" y="3320473"/>
          <a:ext cx="316990" cy="33602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wrap="none" lIns="18288" tIns="18288" rIns="0" bIns="0" anchor="t" upright="1">
          <a:spAutoFit/>
        </a:bodyPr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zh-TW" altLang="en-US" sz="850" b="1" i="0" u="none" strike="noStrike" baseline="0">
              <a:solidFill>
                <a:srgbClr val="000000"/>
              </a:solidFill>
              <a:latin typeface="細明體"/>
              <a:ea typeface="細明體"/>
            </a:rPr>
            <a:t>年別</a:t>
          </a:r>
        </a:p>
        <a:p xmlns:a="http://schemas.openxmlformats.org/drawingml/2006/main">
          <a:pPr algn="l" rtl="0">
            <a:lnSpc>
              <a:spcPts val="1000"/>
            </a:lnSpc>
            <a:defRPr sz="1000"/>
          </a:pPr>
          <a:endParaRPr lang="zh-TW" altLang="en-US" sz="850" b="1" i="0" u="none" strike="noStrike" baseline="0">
            <a:solidFill>
              <a:srgbClr val="000000"/>
            </a:solidFill>
            <a:latin typeface="細明體"/>
            <a:ea typeface="細明體"/>
          </a:endParaRPr>
        </a:p>
        <a:p xmlns:a="http://schemas.openxmlformats.org/drawingml/2006/main">
          <a:pPr algn="l" rtl="0">
            <a:defRPr sz="1000"/>
          </a:pPr>
          <a:r>
            <a:rPr lang="zh-TW" altLang="en-US" sz="850" b="1" i="0" u="none" strike="noStrike" baseline="0">
              <a:solidFill>
                <a:srgbClr val="000000"/>
              </a:solidFill>
              <a:latin typeface="Times New Roman"/>
              <a:cs typeface="Times New Roman"/>
            </a:rPr>
            <a:t>YEAR</a:t>
          </a:r>
          <a:endParaRPr lang="zh-TW" altLang="en-US"/>
        </a:p>
      </cdr:txBody>
    </cdr:sp>
  </cdr:relSizeAnchor>
</c:userShape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FAW7_01</dc:creator>
  <cp:lastModifiedBy>FAW7_01</cp:lastModifiedBy>
  <cp:revision>9</cp:revision>
  <cp:lastPrinted>2013-10-03T08:47:00Z</cp:lastPrinted>
  <dcterms:created xsi:type="dcterms:W3CDTF">2013-10-01T07:18:00Z</dcterms:created>
  <dcterms:modified xsi:type="dcterms:W3CDTF">2013-10-03T08:47:00Z</dcterms:modified>
</cp:coreProperties>
</file>